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37" w:rsidRDefault="005C4737">
      <w:pPr>
        <w:rPr>
          <w:b/>
          <w:bCs/>
          <w:lang w:val="en-US"/>
        </w:rPr>
      </w:pPr>
      <w:r>
        <w:rPr>
          <w:noProof/>
          <w:color w:val="1F497D"/>
          <w:lang w:val="nb-NO" w:eastAsia="nb-NO"/>
        </w:rPr>
        <w:drawing>
          <wp:inline distT="0" distB="0" distL="0" distR="0">
            <wp:extent cx="4657725" cy="1257300"/>
            <wp:effectExtent l="19050" t="0" r="9525" b="0"/>
            <wp:docPr id="1" name="Picture 0" descr="sig_e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_epost.jpg"/>
                    <pic:cNvPicPr>
                      <a:picLocks noChangeAspect="1" noChangeArrowheads="1"/>
                    </pic:cNvPicPr>
                  </pic:nvPicPr>
                  <pic:blipFill>
                    <a:blip r:embed="rId8" r:link="rId9" cstate="print"/>
                    <a:srcRect/>
                    <a:stretch>
                      <a:fillRect/>
                    </a:stretch>
                  </pic:blipFill>
                  <pic:spPr bwMode="auto">
                    <a:xfrm>
                      <a:off x="0" y="0"/>
                      <a:ext cx="4657725" cy="1257300"/>
                    </a:xfrm>
                    <a:prstGeom prst="rect">
                      <a:avLst/>
                    </a:prstGeom>
                    <a:noFill/>
                    <a:ln w="9525">
                      <a:noFill/>
                      <a:miter lim="800000"/>
                      <a:headEnd/>
                      <a:tailEnd/>
                    </a:ln>
                  </pic:spPr>
                </pic:pic>
              </a:graphicData>
            </a:graphic>
          </wp:inline>
        </w:drawing>
      </w:r>
    </w:p>
    <w:p w:rsidR="00AD2E7E" w:rsidRPr="004E2959" w:rsidRDefault="00FB7664">
      <w:pPr>
        <w:rPr>
          <w:b/>
          <w:bCs/>
          <w:lang w:val="en-GB"/>
        </w:rPr>
      </w:pPr>
      <w:r w:rsidRPr="004E2959">
        <w:rPr>
          <w:b/>
          <w:bCs/>
          <w:lang w:val="en-GB"/>
        </w:rPr>
        <w:t xml:space="preserve">DRAFT </w:t>
      </w:r>
      <w:r w:rsidR="00B90635" w:rsidRPr="004E2959">
        <w:rPr>
          <w:b/>
          <w:bCs/>
          <w:lang w:val="en-GB"/>
        </w:rPr>
        <w:t>Minutes Workshop Conflict-Related Sexual Violence</w:t>
      </w:r>
    </w:p>
    <w:p w:rsidR="00B90635" w:rsidRPr="004E2959" w:rsidRDefault="00B90635">
      <w:pPr>
        <w:rPr>
          <w:b/>
          <w:bCs/>
          <w:lang w:val="en-GB"/>
        </w:rPr>
      </w:pPr>
      <w:r w:rsidRPr="004E2959">
        <w:rPr>
          <w:b/>
          <w:bCs/>
          <w:lang w:val="en-GB"/>
        </w:rPr>
        <w:t>A World in Transition, 1</w:t>
      </w:r>
      <w:r w:rsidRPr="004E2959">
        <w:rPr>
          <w:b/>
          <w:bCs/>
          <w:vertAlign w:val="superscript"/>
          <w:lang w:val="en-GB"/>
        </w:rPr>
        <w:t>st</w:t>
      </w:r>
      <w:r w:rsidRPr="004E2959">
        <w:rPr>
          <w:b/>
          <w:bCs/>
          <w:lang w:val="en-GB"/>
        </w:rPr>
        <w:t xml:space="preserve"> June 2012, City Hall, Oslo, Norway, 12.00 – 14.30 </w:t>
      </w:r>
      <w:proofErr w:type="spellStart"/>
      <w:r w:rsidRPr="004E2959">
        <w:rPr>
          <w:b/>
          <w:bCs/>
          <w:lang w:val="en-GB"/>
        </w:rPr>
        <w:t>hrs</w:t>
      </w:r>
      <w:proofErr w:type="spellEnd"/>
    </w:p>
    <w:p w:rsidR="005C4737" w:rsidRPr="004E2959" w:rsidRDefault="005C4737">
      <w:pPr>
        <w:rPr>
          <w:lang w:val="en-GB"/>
        </w:rPr>
      </w:pPr>
    </w:p>
    <w:p w:rsidR="00B90635" w:rsidRPr="004E2959" w:rsidRDefault="001365FC">
      <w:pPr>
        <w:rPr>
          <w:b/>
          <w:bCs/>
          <w:lang w:val="en-GB"/>
        </w:rPr>
      </w:pPr>
      <w:r w:rsidRPr="004E2959">
        <w:rPr>
          <w:b/>
          <w:bCs/>
          <w:lang w:val="en-GB"/>
        </w:rPr>
        <w:t xml:space="preserve">1. </w:t>
      </w:r>
      <w:r w:rsidR="005C4737" w:rsidRPr="004E2959">
        <w:rPr>
          <w:b/>
          <w:bCs/>
          <w:lang w:val="en-GB"/>
        </w:rPr>
        <w:t>Agenda</w:t>
      </w:r>
    </w:p>
    <w:tbl>
      <w:tblPr>
        <w:tblStyle w:val="TableGrid"/>
        <w:tblW w:w="0" w:type="auto"/>
        <w:tblBorders>
          <w:insideH w:val="none" w:sz="0" w:space="0" w:color="auto"/>
        </w:tblBorders>
        <w:tblLook w:val="04A0" w:firstRow="1" w:lastRow="0" w:firstColumn="1" w:lastColumn="0" w:noHBand="0" w:noVBand="1"/>
      </w:tblPr>
      <w:tblGrid>
        <w:gridCol w:w="2036"/>
        <w:gridCol w:w="7252"/>
      </w:tblGrid>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12.00-12.05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Welcome and practical information by organizer</w:t>
            </w: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12.05-12.15 h</w:t>
            </w:r>
          </w:p>
        </w:tc>
        <w:tc>
          <w:tcPr>
            <w:tcW w:w="7483" w:type="dxa"/>
          </w:tcPr>
          <w:p w:rsidR="005C4737" w:rsidRPr="004E2959" w:rsidRDefault="005C4737" w:rsidP="00914FBB">
            <w:pPr>
              <w:spacing w:before="120" w:after="120" w:line="276" w:lineRule="auto"/>
              <w:rPr>
                <w:sz w:val="18"/>
                <w:szCs w:val="18"/>
                <w:lang w:val="en-GB"/>
              </w:rPr>
            </w:pPr>
            <w:proofErr w:type="spellStart"/>
            <w:r w:rsidRPr="004E2959">
              <w:rPr>
                <w:sz w:val="18"/>
                <w:szCs w:val="18"/>
                <w:lang w:val="en-GB"/>
              </w:rPr>
              <w:t>Ragnhild</w:t>
            </w:r>
            <w:proofErr w:type="spellEnd"/>
            <w:r w:rsidRPr="004E2959">
              <w:rPr>
                <w:sz w:val="18"/>
                <w:szCs w:val="18"/>
                <w:lang w:val="en-GB"/>
              </w:rPr>
              <w:t xml:space="preserve"> </w:t>
            </w:r>
            <w:proofErr w:type="spellStart"/>
            <w:r w:rsidRPr="004E2959">
              <w:rPr>
                <w:sz w:val="18"/>
                <w:szCs w:val="18"/>
                <w:lang w:val="en-GB"/>
              </w:rPr>
              <w:t>Mathisen</w:t>
            </w:r>
            <w:proofErr w:type="spellEnd"/>
          </w:p>
          <w:p w:rsidR="005C4737" w:rsidRPr="004E2959" w:rsidRDefault="005C4737" w:rsidP="00914FBB">
            <w:pPr>
              <w:spacing w:before="120" w:after="120" w:line="276" w:lineRule="auto"/>
              <w:rPr>
                <w:sz w:val="18"/>
                <w:szCs w:val="18"/>
                <w:lang w:val="en-GB"/>
              </w:rPr>
            </w:pPr>
            <w:r w:rsidRPr="004E2959">
              <w:rPr>
                <w:sz w:val="18"/>
                <w:szCs w:val="18"/>
                <w:lang w:val="en-GB"/>
              </w:rPr>
              <w:t>Deputy Minister of Health and Care Services, Norway</w:t>
            </w:r>
          </w:p>
          <w:p w:rsidR="005C4737" w:rsidRPr="004E2959" w:rsidRDefault="005C4737" w:rsidP="00914FBB">
            <w:pPr>
              <w:spacing w:before="120" w:after="120" w:line="276" w:lineRule="auto"/>
              <w:rPr>
                <w:sz w:val="18"/>
                <w:szCs w:val="18"/>
                <w:lang w:val="en-GB"/>
              </w:rPr>
            </w:pPr>
            <w:r w:rsidRPr="004E2959">
              <w:rPr>
                <w:sz w:val="18"/>
                <w:szCs w:val="18"/>
                <w:lang w:val="en-GB"/>
              </w:rPr>
              <w:t>Welcome, opening and presentation on the Norwegian perspective and response to sexual violence</w:t>
            </w:r>
          </w:p>
          <w:p w:rsidR="005C4737" w:rsidRPr="004E2959" w:rsidRDefault="005C4737" w:rsidP="00914FBB">
            <w:pPr>
              <w:spacing w:before="120" w:after="120" w:line="276" w:lineRule="auto"/>
              <w:rPr>
                <w:sz w:val="18"/>
                <w:szCs w:val="18"/>
                <w:lang w:val="en-GB"/>
              </w:rPr>
            </w:pP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12.15–12.20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Dr Etienne Krug</w:t>
            </w:r>
          </w:p>
          <w:p w:rsidR="005C4737" w:rsidRPr="004E2959" w:rsidRDefault="005C4737" w:rsidP="00914FBB">
            <w:pPr>
              <w:spacing w:before="120" w:after="120" w:line="276" w:lineRule="auto"/>
              <w:rPr>
                <w:sz w:val="18"/>
                <w:szCs w:val="18"/>
                <w:lang w:val="en-GB"/>
              </w:rPr>
            </w:pPr>
            <w:r w:rsidRPr="004E2959">
              <w:rPr>
                <w:sz w:val="18"/>
                <w:szCs w:val="18"/>
                <w:lang w:val="en-GB"/>
              </w:rPr>
              <w:t>Director Department of Violence and Injury Prevention and Disability, WHO</w:t>
            </w:r>
          </w:p>
          <w:p w:rsidR="005C4737" w:rsidRPr="004E2959" w:rsidRDefault="005C4737" w:rsidP="00914FBB">
            <w:pPr>
              <w:spacing w:before="120" w:after="120" w:line="276" w:lineRule="auto"/>
              <w:rPr>
                <w:sz w:val="18"/>
                <w:szCs w:val="18"/>
                <w:lang w:val="en-GB"/>
              </w:rPr>
            </w:pPr>
            <w:r w:rsidRPr="004E2959">
              <w:rPr>
                <w:sz w:val="18"/>
                <w:szCs w:val="18"/>
                <w:lang w:val="en-GB"/>
              </w:rPr>
              <w:t xml:space="preserve">Welcome, overview of </w:t>
            </w:r>
            <w:proofErr w:type="gramStart"/>
            <w:r w:rsidR="00BD3E26" w:rsidRPr="009C5F31">
              <w:rPr>
                <w:sz w:val="18"/>
                <w:szCs w:val="18"/>
                <w:lang w:val="en-GB"/>
              </w:rPr>
              <w:t>WHO’s</w:t>
            </w:r>
            <w:proofErr w:type="gramEnd"/>
            <w:r w:rsidR="00BD3E26" w:rsidRPr="009C5F31">
              <w:rPr>
                <w:sz w:val="18"/>
                <w:szCs w:val="18"/>
                <w:lang w:val="en-GB"/>
              </w:rPr>
              <w:t xml:space="preserve"> and</w:t>
            </w:r>
            <w:r w:rsidRPr="004E2959">
              <w:rPr>
                <w:sz w:val="18"/>
                <w:szCs w:val="18"/>
                <w:lang w:val="en-GB"/>
              </w:rPr>
              <w:t xml:space="preserve"> the health sector’s role in preventing violence.</w:t>
            </w:r>
          </w:p>
          <w:p w:rsidR="005C4737" w:rsidRPr="004E2959" w:rsidRDefault="005C4737" w:rsidP="00914FBB">
            <w:pPr>
              <w:spacing w:before="120" w:after="120" w:line="276" w:lineRule="auto"/>
              <w:rPr>
                <w:sz w:val="18"/>
                <w:szCs w:val="18"/>
                <w:lang w:val="en-GB"/>
              </w:rPr>
            </w:pP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12.20-12.30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Self-introduction of participants</w:t>
            </w:r>
          </w:p>
          <w:p w:rsidR="005C4737" w:rsidRPr="004E2959" w:rsidRDefault="005C4737" w:rsidP="00914FBB">
            <w:pPr>
              <w:spacing w:before="120" w:after="120" w:line="276" w:lineRule="auto"/>
              <w:rPr>
                <w:sz w:val="18"/>
                <w:szCs w:val="18"/>
                <w:lang w:val="en-GB"/>
              </w:rPr>
            </w:pP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12.30-12.35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 xml:space="preserve">Prof Anthony </w:t>
            </w:r>
            <w:proofErr w:type="spellStart"/>
            <w:r w:rsidRPr="004E2959">
              <w:rPr>
                <w:sz w:val="18"/>
                <w:szCs w:val="18"/>
                <w:lang w:val="en-GB"/>
              </w:rPr>
              <w:t>Zwi</w:t>
            </w:r>
            <w:proofErr w:type="spellEnd"/>
          </w:p>
          <w:p w:rsidR="005C4737" w:rsidRPr="004E2959" w:rsidRDefault="005C4737" w:rsidP="00914FBB">
            <w:pPr>
              <w:spacing w:before="120" w:after="120" w:line="276" w:lineRule="auto"/>
              <w:rPr>
                <w:sz w:val="18"/>
                <w:szCs w:val="18"/>
                <w:lang w:val="en-GB"/>
              </w:rPr>
            </w:pPr>
            <w:r w:rsidRPr="004E2959">
              <w:rPr>
                <w:sz w:val="18"/>
                <w:szCs w:val="18"/>
                <w:lang w:val="en-GB"/>
              </w:rPr>
              <w:t>University of New South Wales, Australia</w:t>
            </w:r>
          </w:p>
          <w:p w:rsidR="005C4737" w:rsidRPr="004E2959" w:rsidRDefault="005C4737" w:rsidP="00914FBB">
            <w:pPr>
              <w:spacing w:before="120" w:after="120" w:line="276" w:lineRule="auto"/>
              <w:rPr>
                <w:sz w:val="18"/>
                <w:szCs w:val="18"/>
                <w:lang w:val="en-GB"/>
              </w:rPr>
            </w:pPr>
            <w:r w:rsidRPr="004E2959">
              <w:rPr>
                <w:sz w:val="18"/>
                <w:szCs w:val="18"/>
                <w:lang w:val="en-GB"/>
              </w:rPr>
              <w:t>Presentation of key results of a global review of research on effective interventions for the prevention of conflict-related sexual violence</w:t>
            </w:r>
          </w:p>
          <w:p w:rsidR="005C4737" w:rsidRPr="004E2959" w:rsidRDefault="005C4737" w:rsidP="00914FBB">
            <w:pPr>
              <w:spacing w:before="120" w:after="120" w:line="276" w:lineRule="auto"/>
              <w:rPr>
                <w:sz w:val="18"/>
                <w:szCs w:val="18"/>
                <w:lang w:val="en-GB"/>
              </w:rPr>
            </w:pP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12.35-12.40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Dr Claudia Garcia-Moreno</w:t>
            </w:r>
          </w:p>
          <w:p w:rsidR="005C4737" w:rsidRPr="004E2959" w:rsidRDefault="005C4737" w:rsidP="00914FBB">
            <w:pPr>
              <w:spacing w:before="120" w:after="120" w:line="276" w:lineRule="auto"/>
              <w:rPr>
                <w:sz w:val="18"/>
                <w:szCs w:val="18"/>
                <w:lang w:val="en-GB"/>
              </w:rPr>
            </w:pPr>
            <w:r w:rsidRPr="004E2959">
              <w:rPr>
                <w:sz w:val="18"/>
                <w:szCs w:val="18"/>
                <w:lang w:val="en-GB"/>
              </w:rPr>
              <w:t>Team Leader, Department of Reproductive Health and Research, WHO</w:t>
            </w:r>
          </w:p>
          <w:p w:rsidR="005C4737" w:rsidRPr="004E2959" w:rsidRDefault="005C4737" w:rsidP="00914FBB">
            <w:pPr>
              <w:spacing w:before="120" w:after="120" w:line="276" w:lineRule="auto"/>
              <w:rPr>
                <w:sz w:val="18"/>
                <w:szCs w:val="18"/>
                <w:lang w:val="en-GB"/>
              </w:rPr>
            </w:pPr>
            <w:r w:rsidRPr="004E2959">
              <w:rPr>
                <w:sz w:val="18"/>
                <w:szCs w:val="18"/>
                <w:lang w:val="en-GB"/>
              </w:rPr>
              <w:t xml:space="preserve">Overview of </w:t>
            </w:r>
            <w:proofErr w:type="gramStart"/>
            <w:r w:rsidRPr="004E2959">
              <w:rPr>
                <w:sz w:val="18"/>
                <w:szCs w:val="18"/>
                <w:lang w:val="en-GB"/>
              </w:rPr>
              <w:t>WHO’s</w:t>
            </w:r>
            <w:proofErr w:type="gramEnd"/>
            <w:r w:rsidRPr="004E2959">
              <w:rPr>
                <w:sz w:val="18"/>
                <w:szCs w:val="18"/>
                <w:lang w:val="en-GB"/>
              </w:rPr>
              <w:t xml:space="preserve"> past and current efforts to address conflict-related sexual violence.</w:t>
            </w: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12.40-12.50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Dr Alexander Butchart</w:t>
            </w:r>
          </w:p>
          <w:p w:rsidR="005C4737" w:rsidRPr="004E2959" w:rsidRDefault="005C4737" w:rsidP="00914FBB">
            <w:pPr>
              <w:spacing w:before="120" w:after="120" w:line="276" w:lineRule="auto"/>
              <w:rPr>
                <w:sz w:val="18"/>
                <w:szCs w:val="18"/>
                <w:lang w:val="en-GB"/>
              </w:rPr>
            </w:pPr>
            <w:r w:rsidRPr="004E2959">
              <w:rPr>
                <w:sz w:val="18"/>
                <w:szCs w:val="18"/>
                <w:lang w:val="en-GB"/>
              </w:rPr>
              <w:t>Coordinator, Prevention of Violence, Department of Violence and Injury Prevention and Disability, WHO</w:t>
            </w:r>
          </w:p>
          <w:p w:rsidR="005C4737" w:rsidRPr="004E2959" w:rsidRDefault="005C4737" w:rsidP="00914FBB">
            <w:pPr>
              <w:spacing w:before="120" w:after="120" w:line="276" w:lineRule="auto"/>
              <w:rPr>
                <w:sz w:val="18"/>
                <w:szCs w:val="18"/>
                <w:lang w:val="en-GB"/>
              </w:rPr>
            </w:pPr>
            <w:r w:rsidRPr="004E2959">
              <w:rPr>
                <w:sz w:val="18"/>
                <w:szCs w:val="18"/>
                <w:lang w:val="en-GB"/>
              </w:rPr>
              <w:t xml:space="preserve">Presentation of the draft </w:t>
            </w:r>
            <w:proofErr w:type="gramStart"/>
            <w:r w:rsidRPr="004E2959">
              <w:rPr>
                <w:sz w:val="18"/>
                <w:szCs w:val="18"/>
                <w:lang w:val="en-GB"/>
              </w:rPr>
              <w:t>WHO</w:t>
            </w:r>
            <w:proofErr w:type="gramEnd"/>
            <w:r w:rsidRPr="004E2959">
              <w:rPr>
                <w:sz w:val="18"/>
                <w:szCs w:val="18"/>
                <w:lang w:val="en-GB"/>
              </w:rPr>
              <w:t xml:space="preserve"> plan of action to address conflict-related sexual violence.</w:t>
            </w:r>
          </w:p>
          <w:p w:rsidR="005C4737" w:rsidRPr="004E2959" w:rsidRDefault="005C4737" w:rsidP="00914FBB">
            <w:pPr>
              <w:spacing w:before="120" w:after="120" w:line="276" w:lineRule="auto"/>
              <w:rPr>
                <w:sz w:val="18"/>
                <w:szCs w:val="18"/>
                <w:lang w:val="en-GB"/>
              </w:rPr>
            </w:pP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lastRenderedPageBreak/>
              <w:t>12.50-14.15</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Discussion</w:t>
            </w:r>
          </w:p>
          <w:p w:rsidR="005C4737" w:rsidRPr="004E2959" w:rsidRDefault="005C4737" w:rsidP="00914FBB">
            <w:pPr>
              <w:spacing w:before="120" w:after="120" w:line="276" w:lineRule="auto"/>
              <w:rPr>
                <w:sz w:val="18"/>
                <w:szCs w:val="18"/>
                <w:lang w:val="en-GB"/>
              </w:rPr>
            </w:pPr>
            <w:r w:rsidRPr="004E2959">
              <w:rPr>
                <w:sz w:val="18"/>
                <w:szCs w:val="18"/>
                <w:lang w:val="en-GB"/>
              </w:rPr>
              <w:t>(Facilitated by Etienne Krug, WHO)</w:t>
            </w:r>
          </w:p>
          <w:p w:rsidR="005C4737" w:rsidRPr="009C5F31" w:rsidRDefault="005C4737" w:rsidP="005C4737">
            <w:pPr>
              <w:pStyle w:val="ListParagraph"/>
              <w:numPr>
                <w:ilvl w:val="0"/>
                <w:numId w:val="1"/>
              </w:numPr>
              <w:spacing w:before="120" w:after="120"/>
              <w:rPr>
                <w:sz w:val="18"/>
                <w:szCs w:val="18"/>
              </w:rPr>
            </w:pPr>
            <w:r w:rsidRPr="009C5F31">
              <w:rPr>
                <w:sz w:val="18"/>
                <w:szCs w:val="18"/>
              </w:rPr>
              <w:t>Discuss and agree on a number of key priorities for the field of prevention and response to conflict-related sexual violence.</w:t>
            </w:r>
          </w:p>
          <w:p w:rsidR="005C4737" w:rsidRPr="009C5F31" w:rsidRDefault="005C4737" w:rsidP="005C4737">
            <w:pPr>
              <w:pStyle w:val="ListParagraph"/>
              <w:numPr>
                <w:ilvl w:val="0"/>
                <w:numId w:val="1"/>
              </w:numPr>
              <w:spacing w:before="120" w:after="120"/>
              <w:rPr>
                <w:sz w:val="18"/>
                <w:szCs w:val="18"/>
              </w:rPr>
            </w:pPr>
            <w:r w:rsidRPr="009C5F31">
              <w:rPr>
                <w:sz w:val="18"/>
                <w:szCs w:val="18"/>
              </w:rPr>
              <w:t xml:space="preserve">Identify the role and main contributions for </w:t>
            </w:r>
            <w:proofErr w:type="gramStart"/>
            <w:r w:rsidRPr="009C5F31">
              <w:rPr>
                <w:sz w:val="18"/>
                <w:szCs w:val="18"/>
              </w:rPr>
              <w:t>WHO</w:t>
            </w:r>
            <w:proofErr w:type="gramEnd"/>
            <w:r w:rsidRPr="009C5F31">
              <w:rPr>
                <w:sz w:val="18"/>
                <w:szCs w:val="18"/>
              </w:rPr>
              <w:t xml:space="preserve"> over the next 3-5 years.</w:t>
            </w:r>
          </w:p>
          <w:p w:rsidR="005C4737" w:rsidRPr="00BD3E26" w:rsidRDefault="005C4737" w:rsidP="005C4737">
            <w:pPr>
              <w:pStyle w:val="ListParagraph"/>
              <w:numPr>
                <w:ilvl w:val="0"/>
                <w:numId w:val="1"/>
              </w:numPr>
              <w:spacing w:before="120" w:after="120"/>
              <w:rPr>
                <w:sz w:val="18"/>
                <w:szCs w:val="18"/>
              </w:rPr>
            </w:pPr>
            <w:r w:rsidRPr="00BD3E26">
              <w:rPr>
                <w:sz w:val="18"/>
                <w:szCs w:val="18"/>
              </w:rPr>
              <w:t>Outline further steps for the development of a WHO wide action plan including global, regional and country level.</w:t>
            </w:r>
          </w:p>
          <w:p w:rsidR="005C4737" w:rsidRPr="004E2959" w:rsidRDefault="005C4737" w:rsidP="00914FBB">
            <w:pPr>
              <w:spacing w:before="120" w:after="120" w:line="276" w:lineRule="auto"/>
              <w:rPr>
                <w:sz w:val="18"/>
                <w:szCs w:val="18"/>
                <w:lang w:val="en-GB"/>
              </w:rPr>
            </w:pPr>
          </w:p>
        </w:tc>
      </w:tr>
      <w:tr w:rsidR="005C4737" w:rsidRPr="00BD3E26" w:rsidTr="00914FBB">
        <w:tc>
          <w:tcPr>
            <w:tcW w:w="2093" w:type="dxa"/>
          </w:tcPr>
          <w:p w:rsidR="005C4737" w:rsidRPr="004E2959" w:rsidRDefault="005C4737" w:rsidP="00914FBB">
            <w:pPr>
              <w:spacing w:before="120" w:after="120" w:line="276" w:lineRule="auto"/>
              <w:rPr>
                <w:sz w:val="18"/>
                <w:szCs w:val="18"/>
                <w:lang w:val="en-GB"/>
              </w:rPr>
            </w:pPr>
            <w:r w:rsidRPr="004E2959">
              <w:rPr>
                <w:sz w:val="18"/>
                <w:szCs w:val="18"/>
                <w:lang w:val="en-GB"/>
              </w:rPr>
              <w:t>14.15-14.30 h</w:t>
            </w:r>
          </w:p>
        </w:tc>
        <w:tc>
          <w:tcPr>
            <w:tcW w:w="7483" w:type="dxa"/>
          </w:tcPr>
          <w:p w:rsidR="005C4737" w:rsidRPr="004E2959" w:rsidRDefault="005C4737" w:rsidP="00914FBB">
            <w:pPr>
              <w:spacing w:before="120" w:after="120" w:line="276" w:lineRule="auto"/>
              <w:rPr>
                <w:sz w:val="18"/>
                <w:szCs w:val="18"/>
                <w:lang w:val="en-GB"/>
              </w:rPr>
            </w:pPr>
            <w:r w:rsidRPr="004E2959">
              <w:rPr>
                <w:sz w:val="18"/>
                <w:szCs w:val="18"/>
                <w:lang w:val="en-GB"/>
              </w:rPr>
              <w:t>Conclusion and Wrap up</w:t>
            </w:r>
          </w:p>
        </w:tc>
      </w:tr>
    </w:tbl>
    <w:p w:rsidR="005C4737" w:rsidRDefault="005C4737">
      <w:pPr>
        <w:rPr>
          <w:lang w:val="en-GB"/>
        </w:rPr>
      </w:pPr>
    </w:p>
    <w:p w:rsidR="00556A70" w:rsidRPr="004E2959" w:rsidRDefault="00556A70">
      <w:pPr>
        <w:rPr>
          <w:lang w:val="en-GB"/>
        </w:rPr>
      </w:pPr>
    </w:p>
    <w:p w:rsidR="001365FC" w:rsidRPr="004E2959" w:rsidRDefault="001365FC" w:rsidP="008673B5">
      <w:pPr>
        <w:rPr>
          <w:b/>
          <w:bCs/>
          <w:lang w:val="en-GB"/>
        </w:rPr>
      </w:pPr>
      <w:r w:rsidRPr="004E2959">
        <w:rPr>
          <w:b/>
          <w:bCs/>
          <w:lang w:val="en-GB"/>
        </w:rPr>
        <w:t xml:space="preserve">2. </w:t>
      </w:r>
      <w:r w:rsidR="008673B5" w:rsidRPr="004E2959">
        <w:rPr>
          <w:b/>
          <w:bCs/>
          <w:lang w:val="en-GB"/>
        </w:rPr>
        <w:t>Summary of technical inputs</w:t>
      </w:r>
    </w:p>
    <w:p w:rsidR="005E7FCD" w:rsidRPr="004E2959" w:rsidRDefault="005E7FCD" w:rsidP="007B5E12">
      <w:pPr>
        <w:rPr>
          <w:lang w:val="en-GB"/>
        </w:rPr>
      </w:pPr>
      <w:r w:rsidRPr="004E2959">
        <w:rPr>
          <w:lang w:val="en-GB"/>
        </w:rPr>
        <w:t xml:space="preserve">The meeting started with technical inputs on </w:t>
      </w:r>
      <w:r w:rsidR="0091148B" w:rsidRPr="004E2959">
        <w:rPr>
          <w:lang w:val="en-GB"/>
        </w:rPr>
        <w:t>addressing conflict-related sexual violence.</w:t>
      </w:r>
    </w:p>
    <w:p w:rsidR="00B84AB8" w:rsidRPr="004E2959" w:rsidRDefault="00A32B5A" w:rsidP="00712674">
      <w:pPr>
        <w:rPr>
          <w:lang w:val="en-GB"/>
        </w:rPr>
      </w:pPr>
      <w:proofErr w:type="spellStart"/>
      <w:r w:rsidRPr="004E2959">
        <w:rPr>
          <w:b/>
          <w:bCs/>
          <w:lang w:val="en-GB"/>
        </w:rPr>
        <w:t>Ragnhild</w:t>
      </w:r>
      <w:proofErr w:type="spellEnd"/>
      <w:r w:rsidRPr="004E2959">
        <w:rPr>
          <w:b/>
          <w:bCs/>
          <w:lang w:val="en-GB"/>
        </w:rPr>
        <w:t xml:space="preserve"> </w:t>
      </w:r>
      <w:proofErr w:type="spellStart"/>
      <w:r w:rsidRPr="004E2959">
        <w:rPr>
          <w:b/>
          <w:bCs/>
          <w:lang w:val="en-GB"/>
        </w:rPr>
        <w:t>Mathisen</w:t>
      </w:r>
      <w:proofErr w:type="spellEnd"/>
      <w:r w:rsidRPr="004E2959">
        <w:rPr>
          <w:lang w:val="en-GB"/>
        </w:rPr>
        <w:t>, Deputy Minister of Health and Care Services of Norway,</w:t>
      </w:r>
      <w:r w:rsidR="0042624B" w:rsidRPr="004E2959">
        <w:rPr>
          <w:lang w:val="en-GB"/>
        </w:rPr>
        <w:t xml:space="preserve"> welcomed participants to the meeting, highlighted the importance that Norway </w:t>
      </w:r>
      <w:r w:rsidR="004C6865" w:rsidRPr="004E2959">
        <w:rPr>
          <w:lang w:val="en-GB"/>
        </w:rPr>
        <w:t>attributes to preventing and addressing sexual violence in conflicts and beyond</w:t>
      </w:r>
      <w:r w:rsidR="007B5E12" w:rsidRPr="004E2959">
        <w:rPr>
          <w:lang w:val="en-GB"/>
        </w:rPr>
        <w:t>,</w:t>
      </w:r>
      <w:r w:rsidR="0042624B" w:rsidRPr="004E2959">
        <w:rPr>
          <w:lang w:val="en-GB"/>
        </w:rPr>
        <w:t xml:space="preserve"> and</w:t>
      </w:r>
      <w:r w:rsidRPr="004E2959">
        <w:rPr>
          <w:lang w:val="en-GB"/>
        </w:rPr>
        <w:t xml:space="preserve"> highlighted the need for</w:t>
      </w:r>
      <w:r w:rsidR="004C6865" w:rsidRPr="004E2959">
        <w:rPr>
          <w:lang w:val="en-GB"/>
        </w:rPr>
        <w:t xml:space="preserve"> improved</w:t>
      </w:r>
      <w:r w:rsidRPr="004E2959">
        <w:rPr>
          <w:lang w:val="en-GB"/>
        </w:rPr>
        <w:t xml:space="preserve"> multi-sectoral coordination to address sexual violence</w:t>
      </w:r>
      <w:r w:rsidR="004C6865" w:rsidRPr="004E2959">
        <w:rPr>
          <w:lang w:val="en-GB"/>
        </w:rPr>
        <w:t xml:space="preserve">. </w:t>
      </w:r>
      <w:r w:rsidR="00EE2321" w:rsidRPr="004E2959">
        <w:rPr>
          <w:lang w:val="en-GB"/>
        </w:rPr>
        <w:t xml:space="preserve"> </w:t>
      </w:r>
      <w:r w:rsidR="007B5E12" w:rsidRPr="004E2959">
        <w:rPr>
          <w:lang w:val="en-GB"/>
        </w:rPr>
        <w:t xml:space="preserve">She </w:t>
      </w:r>
      <w:r w:rsidRPr="004E2959">
        <w:rPr>
          <w:lang w:val="en-GB"/>
        </w:rPr>
        <w:t xml:space="preserve">called for </w:t>
      </w:r>
      <w:r w:rsidR="004C6865" w:rsidRPr="004E2959">
        <w:rPr>
          <w:lang w:val="en-GB"/>
        </w:rPr>
        <w:t xml:space="preserve">increased </w:t>
      </w:r>
      <w:r w:rsidRPr="004E2959">
        <w:rPr>
          <w:lang w:val="en-GB"/>
        </w:rPr>
        <w:t xml:space="preserve">efforts </w:t>
      </w:r>
      <w:r w:rsidR="007B5E12" w:rsidRPr="004E2959">
        <w:rPr>
          <w:lang w:val="en-GB"/>
        </w:rPr>
        <w:t>to</w:t>
      </w:r>
      <w:r w:rsidR="004C6865" w:rsidRPr="004E2959">
        <w:rPr>
          <w:lang w:val="en-GB"/>
        </w:rPr>
        <w:t xml:space="preserve"> </w:t>
      </w:r>
      <w:r w:rsidRPr="004E2959">
        <w:rPr>
          <w:lang w:val="en-GB"/>
        </w:rPr>
        <w:t>prevent</w:t>
      </w:r>
      <w:r w:rsidR="004C6865" w:rsidRPr="004E2959">
        <w:rPr>
          <w:lang w:val="en-GB"/>
        </w:rPr>
        <w:t xml:space="preserve"> sexual violence </w:t>
      </w:r>
      <w:r w:rsidRPr="004E2959">
        <w:rPr>
          <w:lang w:val="en-GB"/>
        </w:rPr>
        <w:t xml:space="preserve">and </w:t>
      </w:r>
      <w:r w:rsidR="007B5E12" w:rsidRPr="004E2959">
        <w:rPr>
          <w:lang w:val="en-GB"/>
        </w:rPr>
        <w:t xml:space="preserve">to </w:t>
      </w:r>
      <w:r w:rsidR="004C6865" w:rsidRPr="004E2959">
        <w:rPr>
          <w:lang w:val="en-GB"/>
        </w:rPr>
        <w:t>strengthen</w:t>
      </w:r>
      <w:r w:rsidR="007B5E12" w:rsidRPr="004E2959">
        <w:rPr>
          <w:lang w:val="en-GB"/>
        </w:rPr>
        <w:t xml:space="preserve"> </w:t>
      </w:r>
      <w:r w:rsidRPr="004E2959">
        <w:rPr>
          <w:lang w:val="en-GB"/>
        </w:rPr>
        <w:t xml:space="preserve">reproductive and mental health services. She highlighted the role of the health sector </w:t>
      </w:r>
      <w:r w:rsidR="007B5E12" w:rsidRPr="004E2959">
        <w:rPr>
          <w:lang w:val="en-GB"/>
        </w:rPr>
        <w:t xml:space="preserve">in </w:t>
      </w:r>
      <w:r w:rsidRPr="004E2959">
        <w:rPr>
          <w:lang w:val="en-GB"/>
        </w:rPr>
        <w:t>monitor</w:t>
      </w:r>
      <w:r w:rsidR="004854E8" w:rsidRPr="004E2959">
        <w:rPr>
          <w:lang w:val="en-GB"/>
        </w:rPr>
        <w:t>ing</w:t>
      </w:r>
      <w:r w:rsidRPr="004E2959">
        <w:rPr>
          <w:lang w:val="en-GB"/>
        </w:rPr>
        <w:t xml:space="preserve"> and document</w:t>
      </w:r>
      <w:r w:rsidR="007B5E12" w:rsidRPr="004E2959">
        <w:rPr>
          <w:lang w:val="en-GB"/>
        </w:rPr>
        <w:t>ing</w:t>
      </w:r>
      <w:r w:rsidR="004854E8" w:rsidRPr="004E2959">
        <w:rPr>
          <w:lang w:val="en-GB"/>
        </w:rPr>
        <w:t xml:space="preserve"> violence against women</w:t>
      </w:r>
      <w:r w:rsidRPr="004E2959">
        <w:rPr>
          <w:lang w:val="en-GB"/>
        </w:rPr>
        <w:t xml:space="preserve"> and </w:t>
      </w:r>
      <w:r w:rsidR="004854E8" w:rsidRPr="004E2959">
        <w:rPr>
          <w:lang w:val="en-GB"/>
        </w:rPr>
        <w:t>the collection of forensic evidence</w:t>
      </w:r>
      <w:r w:rsidR="007B5E12" w:rsidRPr="004E2959">
        <w:rPr>
          <w:lang w:val="en-GB"/>
        </w:rPr>
        <w:t>;</w:t>
      </w:r>
      <w:r w:rsidR="00B84AB8" w:rsidRPr="004E2959">
        <w:rPr>
          <w:lang w:val="en-GB"/>
        </w:rPr>
        <w:t xml:space="preserve"> </w:t>
      </w:r>
      <w:r w:rsidR="007B5E12" w:rsidRPr="004E2959">
        <w:rPr>
          <w:lang w:val="en-GB"/>
        </w:rPr>
        <w:t xml:space="preserve">in better </w:t>
      </w:r>
      <w:r w:rsidR="00B84AB8" w:rsidRPr="004E2959">
        <w:rPr>
          <w:lang w:val="en-GB"/>
        </w:rPr>
        <w:t>document</w:t>
      </w:r>
      <w:r w:rsidR="007B5E12" w:rsidRPr="004E2959">
        <w:rPr>
          <w:lang w:val="en-GB"/>
        </w:rPr>
        <w:t>ing</w:t>
      </w:r>
      <w:r w:rsidR="00B84AB8" w:rsidRPr="004E2959">
        <w:rPr>
          <w:lang w:val="en-GB"/>
        </w:rPr>
        <w:t xml:space="preserve"> good practices </w:t>
      </w:r>
      <w:r w:rsidR="007B5E12" w:rsidRPr="004E2959">
        <w:rPr>
          <w:lang w:val="en-GB"/>
        </w:rPr>
        <w:t>for</w:t>
      </w:r>
      <w:r w:rsidR="00B84AB8" w:rsidRPr="004E2959">
        <w:rPr>
          <w:lang w:val="en-GB"/>
        </w:rPr>
        <w:t xml:space="preserve"> prevention </w:t>
      </w:r>
      <w:r w:rsidR="007B5E12" w:rsidRPr="004E2959">
        <w:rPr>
          <w:lang w:val="en-GB"/>
        </w:rPr>
        <w:t xml:space="preserve">programming and service delivery, </w:t>
      </w:r>
      <w:r w:rsidR="00B84AB8" w:rsidRPr="004E2959">
        <w:rPr>
          <w:lang w:val="en-GB"/>
        </w:rPr>
        <w:t xml:space="preserve">and </w:t>
      </w:r>
      <w:r w:rsidR="007B5E12" w:rsidRPr="004E2959">
        <w:rPr>
          <w:lang w:val="en-GB"/>
        </w:rPr>
        <w:t xml:space="preserve">in </w:t>
      </w:r>
      <w:r w:rsidR="00712674">
        <w:rPr>
          <w:lang w:val="en-GB"/>
        </w:rPr>
        <w:t>raising</w:t>
      </w:r>
      <w:r w:rsidR="00B84AB8" w:rsidRPr="004E2959">
        <w:rPr>
          <w:lang w:val="en-GB"/>
        </w:rPr>
        <w:t xml:space="preserve"> visibility</w:t>
      </w:r>
      <w:r w:rsidR="007916F8">
        <w:rPr>
          <w:lang w:val="en-GB"/>
        </w:rPr>
        <w:t>, reducing stigma and shame,</w:t>
      </w:r>
      <w:r w:rsidR="00B84AB8" w:rsidRPr="004E2959">
        <w:rPr>
          <w:lang w:val="en-GB"/>
        </w:rPr>
        <w:t xml:space="preserve"> and </w:t>
      </w:r>
      <w:r w:rsidR="007B5E12" w:rsidRPr="004E2959">
        <w:rPr>
          <w:lang w:val="en-GB"/>
        </w:rPr>
        <w:t xml:space="preserve">advocating for more action to address such </w:t>
      </w:r>
      <w:r w:rsidR="00B84AB8" w:rsidRPr="004E2959">
        <w:rPr>
          <w:lang w:val="en-GB"/>
        </w:rPr>
        <w:t>violence.</w:t>
      </w:r>
      <w:r w:rsidR="00082F32">
        <w:rPr>
          <w:lang w:val="en-GB"/>
        </w:rPr>
        <w:t xml:space="preserve"> She also stressed the importance of multi-sectoral collaboration.</w:t>
      </w:r>
    </w:p>
    <w:p w:rsidR="006F5236" w:rsidRDefault="00F26F89" w:rsidP="005861DA">
      <w:pPr>
        <w:rPr>
          <w:lang w:val="en-GB"/>
        </w:rPr>
      </w:pPr>
      <w:r w:rsidRPr="004E2959">
        <w:rPr>
          <w:b/>
          <w:bCs/>
          <w:lang w:val="en-GB"/>
        </w:rPr>
        <w:t>Eti</w:t>
      </w:r>
      <w:r w:rsidR="001365FC" w:rsidRPr="004E2959">
        <w:rPr>
          <w:b/>
          <w:bCs/>
          <w:lang w:val="en-GB"/>
        </w:rPr>
        <w:t>e</w:t>
      </w:r>
      <w:r w:rsidRPr="004E2959">
        <w:rPr>
          <w:b/>
          <w:bCs/>
          <w:lang w:val="en-GB"/>
        </w:rPr>
        <w:t>nne Krug</w:t>
      </w:r>
      <w:r w:rsidRPr="004E2959">
        <w:rPr>
          <w:lang w:val="en-GB"/>
        </w:rPr>
        <w:t xml:space="preserve">, Director of the Department of Violence and Injury Prevention and Disability at WHO </w:t>
      </w:r>
      <w:r w:rsidR="00757CF1" w:rsidRPr="004E2959">
        <w:rPr>
          <w:lang w:val="en-GB"/>
        </w:rPr>
        <w:t>Geneva</w:t>
      </w:r>
      <w:r w:rsidR="00ED2E35">
        <w:rPr>
          <w:lang w:val="en-GB"/>
        </w:rPr>
        <w:t>,</w:t>
      </w:r>
      <w:r w:rsidR="006F5236">
        <w:rPr>
          <w:lang w:val="en-GB"/>
        </w:rPr>
        <w:t xml:space="preserve"> noted that in her acceptance speech on re-election as WHO Director General, Dr Margaret Chan had committed to giving more attention to the prevention of</w:t>
      </w:r>
      <w:r w:rsidR="005861DA">
        <w:rPr>
          <w:lang w:val="en-GB"/>
        </w:rPr>
        <w:t xml:space="preserve"> “domestic</w:t>
      </w:r>
      <w:r w:rsidR="006F5236">
        <w:rPr>
          <w:lang w:val="en-GB"/>
        </w:rPr>
        <w:t xml:space="preserve"> violence</w:t>
      </w:r>
      <w:r w:rsidR="005861DA">
        <w:rPr>
          <w:lang w:val="en-GB"/>
        </w:rPr>
        <w:t>”</w:t>
      </w:r>
      <w:r w:rsidR="006F5236">
        <w:rPr>
          <w:lang w:val="en-GB"/>
        </w:rPr>
        <w:t xml:space="preserve">. </w:t>
      </w:r>
      <w:r w:rsidR="007B5E12" w:rsidRPr="004E2959">
        <w:rPr>
          <w:lang w:val="en-GB"/>
        </w:rPr>
        <w:t>He</w:t>
      </w:r>
      <w:r w:rsidRPr="004E2959">
        <w:rPr>
          <w:lang w:val="en-GB"/>
        </w:rPr>
        <w:t xml:space="preserve"> </w:t>
      </w:r>
      <w:r w:rsidR="006F5236">
        <w:rPr>
          <w:lang w:val="en-GB"/>
        </w:rPr>
        <w:t xml:space="preserve">also </w:t>
      </w:r>
      <w:r w:rsidR="007B5E12" w:rsidRPr="004E2959">
        <w:rPr>
          <w:lang w:val="en-GB"/>
        </w:rPr>
        <w:t xml:space="preserve">noted that </w:t>
      </w:r>
      <w:r w:rsidR="007916F8">
        <w:rPr>
          <w:lang w:val="en-GB"/>
        </w:rPr>
        <w:t xml:space="preserve">some progress has been made with respect to services, </w:t>
      </w:r>
      <w:r w:rsidR="00ED2E35">
        <w:rPr>
          <w:lang w:val="en-GB"/>
        </w:rPr>
        <w:t xml:space="preserve">but </w:t>
      </w:r>
      <w:r w:rsidR="007916F8">
        <w:rPr>
          <w:lang w:val="en-GB"/>
        </w:rPr>
        <w:t xml:space="preserve">they are still not geared </w:t>
      </w:r>
      <w:r w:rsidR="00ED2E35">
        <w:rPr>
          <w:lang w:val="en-GB"/>
        </w:rPr>
        <w:t xml:space="preserve">up </w:t>
      </w:r>
      <w:r w:rsidR="007916F8">
        <w:rPr>
          <w:lang w:val="en-GB"/>
        </w:rPr>
        <w:t>or comprehensive</w:t>
      </w:r>
      <w:r w:rsidR="00ED2E35">
        <w:rPr>
          <w:lang w:val="en-GB"/>
        </w:rPr>
        <w:t xml:space="preserve"> enough</w:t>
      </w:r>
      <w:r w:rsidR="007916F8">
        <w:rPr>
          <w:lang w:val="en-GB"/>
        </w:rPr>
        <w:t xml:space="preserve"> t</w:t>
      </w:r>
      <w:r w:rsidR="005861DA">
        <w:rPr>
          <w:lang w:val="en-GB"/>
        </w:rPr>
        <w:t>o meet the needs of survivors. W</w:t>
      </w:r>
      <w:r w:rsidR="007B5E12" w:rsidRPr="004E2959">
        <w:rPr>
          <w:lang w:val="en-GB"/>
        </w:rPr>
        <w:t xml:space="preserve">hile </w:t>
      </w:r>
      <w:r w:rsidRPr="004E2959">
        <w:rPr>
          <w:lang w:val="en-GB"/>
        </w:rPr>
        <w:t>the health sect</w:t>
      </w:r>
      <w:r w:rsidR="007B1E90" w:rsidRPr="004E2959">
        <w:rPr>
          <w:lang w:val="en-GB"/>
        </w:rPr>
        <w:t xml:space="preserve">or </w:t>
      </w:r>
      <w:r w:rsidR="007B5E12" w:rsidRPr="004E2959">
        <w:rPr>
          <w:lang w:val="en-GB"/>
        </w:rPr>
        <w:t xml:space="preserve">should play a major role </w:t>
      </w:r>
      <w:r w:rsidR="007B1E90" w:rsidRPr="004E2959">
        <w:rPr>
          <w:lang w:val="en-GB"/>
        </w:rPr>
        <w:t xml:space="preserve">in addressing sexual violence </w:t>
      </w:r>
      <w:r w:rsidR="007B5E12" w:rsidRPr="004E2959">
        <w:rPr>
          <w:lang w:val="en-GB"/>
        </w:rPr>
        <w:t>(</w:t>
      </w:r>
      <w:r w:rsidR="007B1E90" w:rsidRPr="004E2959">
        <w:rPr>
          <w:lang w:val="en-GB"/>
        </w:rPr>
        <w:t>particularly in the area</w:t>
      </w:r>
      <w:r w:rsidR="007B5E12" w:rsidRPr="004E2959">
        <w:rPr>
          <w:lang w:val="en-GB"/>
        </w:rPr>
        <w:t>s</w:t>
      </w:r>
      <w:r w:rsidR="007B1E90" w:rsidRPr="004E2959">
        <w:rPr>
          <w:lang w:val="en-GB"/>
        </w:rPr>
        <w:t xml:space="preserve"> of prevention</w:t>
      </w:r>
      <w:r w:rsidR="007B5E12" w:rsidRPr="004E2959">
        <w:rPr>
          <w:lang w:val="en-GB"/>
        </w:rPr>
        <w:t xml:space="preserve"> and </w:t>
      </w:r>
      <w:r w:rsidR="007916F8">
        <w:rPr>
          <w:lang w:val="en-GB"/>
        </w:rPr>
        <w:t>survivor</w:t>
      </w:r>
      <w:r w:rsidR="007916F8" w:rsidRPr="004E2959">
        <w:rPr>
          <w:lang w:val="en-GB"/>
        </w:rPr>
        <w:t xml:space="preserve"> </w:t>
      </w:r>
      <w:r w:rsidR="007B5E12" w:rsidRPr="004E2959">
        <w:rPr>
          <w:lang w:val="en-GB"/>
        </w:rPr>
        <w:t>services)</w:t>
      </w:r>
      <w:r w:rsidR="007B1E90" w:rsidRPr="004E2959">
        <w:rPr>
          <w:lang w:val="en-GB"/>
        </w:rPr>
        <w:t xml:space="preserve">, public health </w:t>
      </w:r>
      <w:r w:rsidR="007B5E12" w:rsidRPr="004E2959">
        <w:rPr>
          <w:lang w:val="en-GB"/>
        </w:rPr>
        <w:t xml:space="preserve">experts are </w:t>
      </w:r>
      <w:r w:rsidR="007B1E90" w:rsidRPr="004E2959">
        <w:rPr>
          <w:lang w:val="en-GB"/>
        </w:rPr>
        <w:t xml:space="preserve">often </w:t>
      </w:r>
      <w:r w:rsidR="007B5E12" w:rsidRPr="004E2959">
        <w:rPr>
          <w:lang w:val="en-GB"/>
        </w:rPr>
        <w:t xml:space="preserve">absent from discussions when </w:t>
      </w:r>
      <w:r w:rsidR="007B1E90" w:rsidRPr="004E2959">
        <w:rPr>
          <w:lang w:val="en-GB"/>
        </w:rPr>
        <w:t xml:space="preserve">interventions to prevent conflict-related sexual violence are being </w:t>
      </w:r>
      <w:r w:rsidR="007B5E12" w:rsidRPr="004E2959">
        <w:rPr>
          <w:lang w:val="en-GB"/>
        </w:rPr>
        <w:t>planned</w:t>
      </w:r>
      <w:r w:rsidR="007B1E90" w:rsidRPr="004E2959">
        <w:rPr>
          <w:lang w:val="en-GB"/>
        </w:rPr>
        <w:t xml:space="preserve">. The health sector can contribute substantially to </w:t>
      </w:r>
      <w:r w:rsidR="007B5E12" w:rsidRPr="004E2959">
        <w:rPr>
          <w:lang w:val="en-GB"/>
        </w:rPr>
        <w:t xml:space="preserve">primary prevention and </w:t>
      </w:r>
      <w:r w:rsidR="007916F8">
        <w:rPr>
          <w:lang w:val="en-GB"/>
        </w:rPr>
        <w:t>survivor</w:t>
      </w:r>
      <w:r w:rsidR="007916F8" w:rsidRPr="004E2959">
        <w:rPr>
          <w:lang w:val="en-GB"/>
        </w:rPr>
        <w:t xml:space="preserve"> </w:t>
      </w:r>
      <w:r w:rsidR="007B5E12" w:rsidRPr="004E2959">
        <w:rPr>
          <w:lang w:val="en-GB"/>
        </w:rPr>
        <w:t xml:space="preserve">services </w:t>
      </w:r>
      <w:r w:rsidR="007B1E90" w:rsidRPr="004E2959">
        <w:rPr>
          <w:lang w:val="en-GB"/>
        </w:rPr>
        <w:t>in terms of data collection</w:t>
      </w:r>
      <w:r w:rsidR="007B5E12" w:rsidRPr="004E2959">
        <w:rPr>
          <w:lang w:val="en-GB"/>
        </w:rPr>
        <w:t>; intervention design, monitoring and evaluation, service provision</w:t>
      </w:r>
      <w:r w:rsidR="005861DA">
        <w:rPr>
          <w:lang w:val="en-GB"/>
        </w:rPr>
        <w:t>, support for policy development and advocacy</w:t>
      </w:r>
      <w:r w:rsidR="007B5E12" w:rsidRPr="004E2959">
        <w:rPr>
          <w:lang w:val="en-GB"/>
        </w:rPr>
        <w:t xml:space="preserve">. </w:t>
      </w:r>
      <w:r w:rsidR="00D3329E" w:rsidRPr="004E2959">
        <w:rPr>
          <w:lang w:val="en-GB"/>
        </w:rPr>
        <w:t>He outline</w:t>
      </w:r>
      <w:r w:rsidR="007B5E12" w:rsidRPr="004E2959">
        <w:rPr>
          <w:lang w:val="en-GB"/>
        </w:rPr>
        <w:t>d</w:t>
      </w:r>
      <w:r w:rsidR="00D3329E" w:rsidRPr="004E2959">
        <w:rPr>
          <w:lang w:val="en-GB"/>
        </w:rPr>
        <w:t xml:space="preserve"> WHO</w:t>
      </w:r>
      <w:r w:rsidR="007B5E12" w:rsidRPr="004E2959">
        <w:rPr>
          <w:lang w:val="en-GB"/>
        </w:rPr>
        <w:t xml:space="preserve"> </w:t>
      </w:r>
      <w:r w:rsidR="00D3329E" w:rsidRPr="004E2959">
        <w:rPr>
          <w:lang w:val="en-GB"/>
        </w:rPr>
        <w:t xml:space="preserve">activities </w:t>
      </w:r>
      <w:r w:rsidR="007B5E12" w:rsidRPr="004E2959">
        <w:rPr>
          <w:lang w:val="en-GB"/>
        </w:rPr>
        <w:t xml:space="preserve">to build the health sector’s capacity to </w:t>
      </w:r>
      <w:r w:rsidR="00BD3E26" w:rsidRPr="009C5F31">
        <w:rPr>
          <w:lang w:val="en-GB"/>
        </w:rPr>
        <w:t>fulfil</w:t>
      </w:r>
      <w:r w:rsidR="007B5E12" w:rsidRPr="004E2959">
        <w:rPr>
          <w:lang w:val="en-GB"/>
        </w:rPr>
        <w:t xml:space="preserve"> </w:t>
      </w:r>
      <w:r w:rsidR="009060FA" w:rsidRPr="004E2959">
        <w:rPr>
          <w:lang w:val="en-GB"/>
        </w:rPr>
        <w:t xml:space="preserve">its role, and underlined </w:t>
      </w:r>
      <w:r w:rsidR="007B1E90" w:rsidRPr="004E2959">
        <w:rPr>
          <w:lang w:val="en-GB"/>
        </w:rPr>
        <w:t>the need for a WHO-wide action plan</w:t>
      </w:r>
      <w:r w:rsidR="006F5236">
        <w:rPr>
          <w:lang w:val="en-GB"/>
        </w:rPr>
        <w:t xml:space="preserve">. </w:t>
      </w:r>
    </w:p>
    <w:p w:rsidR="005F4244" w:rsidRPr="004E2959" w:rsidRDefault="00A461FF" w:rsidP="00F279EF">
      <w:pPr>
        <w:rPr>
          <w:lang w:val="en-GB"/>
        </w:rPr>
      </w:pPr>
      <w:r w:rsidRPr="004E2959">
        <w:rPr>
          <w:b/>
          <w:bCs/>
          <w:lang w:val="en-GB"/>
        </w:rPr>
        <w:t xml:space="preserve">Eric </w:t>
      </w:r>
      <w:proofErr w:type="spellStart"/>
      <w:r w:rsidRPr="004E2959">
        <w:rPr>
          <w:b/>
          <w:bCs/>
          <w:lang w:val="en-GB"/>
        </w:rPr>
        <w:t>Goosby</w:t>
      </w:r>
      <w:proofErr w:type="spellEnd"/>
      <w:r w:rsidR="00430F9A" w:rsidRPr="004E2959">
        <w:rPr>
          <w:lang w:val="en-GB"/>
        </w:rPr>
        <w:t xml:space="preserve">, </w:t>
      </w:r>
      <w:r w:rsidR="000E7C3A" w:rsidRPr="004E2959">
        <w:rPr>
          <w:lang w:val="en-GB"/>
        </w:rPr>
        <w:t xml:space="preserve">United States </w:t>
      </w:r>
      <w:r w:rsidR="00430F9A" w:rsidRPr="004E2959">
        <w:rPr>
          <w:lang w:val="en-GB"/>
        </w:rPr>
        <w:t xml:space="preserve">Global AIDS Coordinator, </w:t>
      </w:r>
      <w:r w:rsidR="005F4244" w:rsidRPr="004E2959">
        <w:rPr>
          <w:lang w:val="en-GB"/>
        </w:rPr>
        <w:t xml:space="preserve">described US government activities to address sexual violence. </w:t>
      </w:r>
      <w:r w:rsidR="00D013F1">
        <w:rPr>
          <w:lang w:val="en-GB"/>
        </w:rPr>
        <w:t xml:space="preserve">Addressing gender-based violence is part of PEPFAR’s overall gender strategy.  </w:t>
      </w:r>
      <w:r w:rsidR="009060FA" w:rsidRPr="004E2959">
        <w:rPr>
          <w:lang w:val="en-GB"/>
        </w:rPr>
        <w:t>V</w:t>
      </w:r>
      <w:r w:rsidR="00912217" w:rsidRPr="004E2959">
        <w:rPr>
          <w:lang w:val="en-GB"/>
        </w:rPr>
        <w:t>ia PEPFAR</w:t>
      </w:r>
      <w:r w:rsidR="009060FA" w:rsidRPr="004E2959">
        <w:rPr>
          <w:lang w:val="en-GB"/>
        </w:rPr>
        <w:t>, the US has</w:t>
      </w:r>
      <w:r w:rsidR="00912217" w:rsidRPr="004E2959">
        <w:rPr>
          <w:lang w:val="en-GB"/>
        </w:rPr>
        <w:t xml:space="preserve"> invested US</w:t>
      </w:r>
      <w:r w:rsidR="009060FA" w:rsidRPr="004E2959">
        <w:rPr>
          <w:lang w:val="en-GB"/>
        </w:rPr>
        <w:t xml:space="preserve">$155 million </w:t>
      </w:r>
      <w:r w:rsidR="00912217" w:rsidRPr="004E2959">
        <w:rPr>
          <w:lang w:val="en-GB"/>
        </w:rPr>
        <w:t xml:space="preserve">in </w:t>
      </w:r>
      <w:r w:rsidR="009060FA" w:rsidRPr="004E2959">
        <w:rPr>
          <w:lang w:val="en-GB"/>
        </w:rPr>
        <w:t xml:space="preserve">the </w:t>
      </w:r>
      <w:r w:rsidR="00912217" w:rsidRPr="004E2959">
        <w:rPr>
          <w:lang w:val="en-GB"/>
        </w:rPr>
        <w:t xml:space="preserve">prevention and mitigation of </w:t>
      </w:r>
      <w:r w:rsidR="009060FA" w:rsidRPr="004E2959">
        <w:rPr>
          <w:lang w:val="en-GB"/>
        </w:rPr>
        <w:t xml:space="preserve">gender-based violence </w:t>
      </w:r>
      <w:r w:rsidR="001C1C47" w:rsidRPr="004E2959">
        <w:rPr>
          <w:lang w:val="en-GB"/>
        </w:rPr>
        <w:t>in the past year</w:t>
      </w:r>
      <w:r w:rsidR="009060FA" w:rsidRPr="004E2959">
        <w:rPr>
          <w:lang w:val="en-GB"/>
        </w:rPr>
        <w:t xml:space="preserve">, including providing at least </w:t>
      </w:r>
      <w:r w:rsidR="00912217" w:rsidRPr="004E2959">
        <w:rPr>
          <w:lang w:val="en-GB"/>
        </w:rPr>
        <w:t xml:space="preserve">47000 women </w:t>
      </w:r>
      <w:r w:rsidR="009060FA" w:rsidRPr="004E2959">
        <w:rPr>
          <w:lang w:val="en-GB"/>
        </w:rPr>
        <w:t xml:space="preserve">with </w:t>
      </w:r>
      <w:r w:rsidR="00912217" w:rsidRPr="004E2959">
        <w:rPr>
          <w:lang w:val="en-GB"/>
        </w:rPr>
        <w:t>post-rape care</w:t>
      </w:r>
      <w:r w:rsidR="009060FA" w:rsidRPr="004E2959">
        <w:rPr>
          <w:lang w:val="en-GB"/>
        </w:rPr>
        <w:t xml:space="preserve"> and</w:t>
      </w:r>
      <w:r w:rsidR="00912217" w:rsidRPr="004E2959">
        <w:rPr>
          <w:lang w:val="en-GB"/>
        </w:rPr>
        <w:t xml:space="preserve"> services. Comprehensive country programming </w:t>
      </w:r>
      <w:r w:rsidR="00D013F1">
        <w:rPr>
          <w:lang w:val="en-GB"/>
        </w:rPr>
        <w:t>involving scaling up of screening, counselling,</w:t>
      </w:r>
      <w:r w:rsidR="00F279EF">
        <w:rPr>
          <w:lang w:val="en-GB"/>
        </w:rPr>
        <w:t xml:space="preserve"> and</w:t>
      </w:r>
      <w:r w:rsidR="00D013F1">
        <w:rPr>
          <w:lang w:val="en-GB"/>
        </w:rPr>
        <w:t xml:space="preserve"> prevention services is being implemented in</w:t>
      </w:r>
      <w:r w:rsidR="00912217" w:rsidRPr="004E2959">
        <w:rPr>
          <w:lang w:val="en-GB"/>
        </w:rPr>
        <w:t xml:space="preserve"> Tanzania, D</w:t>
      </w:r>
      <w:r w:rsidR="009060FA" w:rsidRPr="004E2959">
        <w:rPr>
          <w:lang w:val="en-GB"/>
        </w:rPr>
        <w:t xml:space="preserve">emocratic </w:t>
      </w:r>
      <w:r w:rsidR="00912217" w:rsidRPr="004E2959">
        <w:rPr>
          <w:lang w:val="en-GB"/>
        </w:rPr>
        <w:t>R</w:t>
      </w:r>
      <w:r w:rsidR="009060FA" w:rsidRPr="004E2959">
        <w:rPr>
          <w:lang w:val="en-GB"/>
        </w:rPr>
        <w:t>epublic of the Congo</w:t>
      </w:r>
      <w:r w:rsidR="00912217" w:rsidRPr="004E2959">
        <w:rPr>
          <w:lang w:val="en-GB"/>
        </w:rPr>
        <w:t>, and Mozambique</w:t>
      </w:r>
      <w:r w:rsidR="00C4774E" w:rsidRPr="004E2959">
        <w:rPr>
          <w:lang w:val="en-GB"/>
        </w:rPr>
        <w:t>. PEPFAR is a partner of the international initiative Together for Girls</w:t>
      </w:r>
      <w:r w:rsidR="001C1C47" w:rsidRPr="004E2959">
        <w:rPr>
          <w:lang w:val="en-GB"/>
        </w:rPr>
        <w:t xml:space="preserve">, </w:t>
      </w:r>
      <w:r w:rsidR="009060FA" w:rsidRPr="004E2959">
        <w:rPr>
          <w:lang w:val="en-GB"/>
        </w:rPr>
        <w:t xml:space="preserve">which </w:t>
      </w:r>
      <w:r w:rsidR="001C1C47" w:rsidRPr="004E2959">
        <w:rPr>
          <w:lang w:val="en-GB"/>
        </w:rPr>
        <w:t>address</w:t>
      </w:r>
      <w:r w:rsidR="009060FA" w:rsidRPr="004E2959">
        <w:rPr>
          <w:lang w:val="en-GB"/>
        </w:rPr>
        <w:t>es</w:t>
      </w:r>
      <w:r w:rsidR="001C1C47" w:rsidRPr="004E2959">
        <w:rPr>
          <w:lang w:val="en-GB"/>
        </w:rPr>
        <w:t xml:space="preserve"> sexual violence </w:t>
      </w:r>
      <w:r w:rsidR="001C1C47" w:rsidRPr="004E2959">
        <w:rPr>
          <w:lang w:val="en-GB"/>
        </w:rPr>
        <w:lastRenderedPageBreak/>
        <w:t xml:space="preserve">particularly against girls. Via the gender challenge fund, </w:t>
      </w:r>
      <w:r w:rsidR="009060FA" w:rsidRPr="004E2959">
        <w:rPr>
          <w:lang w:val="en-GB"/>
        </w:rPr>
        <w:t xml:space="preserve">PEPFAR also </w:t>
      </w:r>
      <w:r w:rsidR="001C1C47" w:rsidRPr="004E2959">
        <w:rPr>
          <w:lang w:val="en-GB"/>
        </w:rPr>
        <w:t>strengthens gender equity initiatives in 18 PEPFAR countries.</w:t>
      </w:r>
      <w:r w:rsidR="001B62A4" w:rsidRPr="004E2959">
        <w:rPr>
          <w:lang w:val="en-GB"/>
        </w:rPr>
        <w:t xml:space="preserve"> </w:t>
      </w:r>
      <w:r w:rsidR="009060FA" w:rsidRPr="004E2959">
        <w:rPr>
          <w:lang w:val="en-GB"/>
        </w:rPr>
        <w:t>He</w:t>
      </w:r>
      <w:r w:rsidR="005F4244" w:rsidRPr="004E2959">
        <w:rPr>
          <w:lang w:val="en-GB"/>
        </w:rPr>
        <w:t xml:space="preserve"> commended WHO for its work on </w:t>
      </w:r>
      <w:r w:rsidR="00766407" w:rsidRPr="004E2959">
        <w:rPr>
          <w:lang w:val="en-GB"/>
        </w:rPr>
        <w:t>violence prevention</w:t>
      </w:r>
      <w:r w:rsidR="005F4244" w:rsidRPr="004E2959">
        <w:rPr>
          <w:lang w:val="en-GB"/>
        </w:rPr>
        <w:t xml:space="preserve"> and services</w:t>
      </w:r>
      <w:r w:rsidR="009060FA" w:rsidRPr="004E2959">
        <w:rPr>
          <w:lang w:val="en-GB"/>
        </w:rPr>
        <w:t>,</w:t>
      </w:r>
      <w:r w:rsidR="00D013F1">
        <w:rPr>
          <w:lang w:val="en-GB"/>
        </w:rPr>
        <w:t xml:space="preserve"> including its work on </w:t>
      </w:r>
      <w:r w:rsidR="00F279EF">
        <w:rPr>
          <w:lang w:val="en-GB"/>
        </w:rPr>
        <w:t>estimating the prevalence</w:t>
      </w:r>
      <w:r w:rsidR="00D013F1">
        <w:rPr>
          <w:lang w:val="en-GB"/>
        </w:rPr>
        <w:t xml:space="preserve"> of intimate partner violence,</w:t>
      </w:r>
      <w:r w:rsidR="009060FA" w:rsidRPr="004E2959">
        <w:rPr>
          <w:lang w:val="en-GB"/>
        </w:rPr>
        <w:t xml:space="preserve"> and </w:t>
      </w:r>
      <w:r w:rsidR="005F4244" w:rsidRPr="004E2959">
        <w:rPr>
          <w:lang w:val="en-GB"/>
        </w:rPr>
        <w:t>highlight</w:t>
      </w:r>
      <w:r w:rsidR="009060FA" w:rsidRPr="004E2959">
        <w:rPr>
          <w:lang w:val="en-GB"/>
        </w:rPr>
        <w:t>ed</w:t>
      </w:r>
      <w:r w:rsidR="005F4244" w:rsidRPr="004E2959">
        <w:rPr>
          <w:lang w:val="en-GB"/>
        </w:rPr>
        <w:t xml:space="preserve"> the need to move from data collection and research to implementation and scaling-up of effective interventions at the country level.</w:t>
      </w:r>
    </w:p>
    <w:p w:rsidR="0080628F" w:rsidRPr="004E2959" w:rsidRDefault="007A2F89" w:rsidP="00F279EF">
      <w:pPr>
        <w:rPr>
          <w:lang w:val="en-GB"/>
        </w:rPr>
      </w:pPr>
      <w:r w:rsidRPr="004E2959">
        <w:rPr>
          <w:b/>
          <w:bCs/>
          <w:lang w:val="en-GB"/>
        </w:rPr>
        <w:t xml:space="preserve">Anthony </w:t>
      </w:r>
      <w:proofErr w:type="spellStart"/>
      <w:r w:rsidRPr="004E2959">
        <w:rPr>
          <w:b/>
          <w:bCs/>
          <w:lang w:val="en-GB"/>
        </w:rPr>
        <w:t>Zwi</w:t>
      </w:r>
      <w:proofErr w:type="spellEnd"/>
      <w:r w:rsidRPr="004E2959">
        <w:rPr>
          <w:lang w:val="en-GB"/>
        </w:rPr>
        <w:t xml:space="preserve">, Professor </w:t>
      </w:r>
      <w:r w:rsidR="00467315" w:rsidRPr="004E2959">
        <w:rPr>
          <w:lang w:val="en-GB"/>
        </w:rPr>
        <w:t>at</w:t>
      </w:r>
      <w:r w:rsidRPr="004E2959">
        <w:rPr>
          <w:lang w:val="en-GB"/>
        </w:rPr>
        <w:t xml:space="preserve"> the University of New South Wales, presented preliminary results from a systematic review </w:t>
      </w:r>
      <w:r w:rsidR="00467315" w:rsidRPr="004E2959">
        <w:rPr>
          <w:lang w:val="en-GB"/>
        </w:rPr>
        <w:t>o</w:t>
      </w:r>
      <w:r w:rsidR="004E301C" w:rsidRPr="004E2959">
        <w:rPr>
          <w:lang w:val="en-GB"/>
        </w:rPr>
        <w:t>f</w:t>
      </w:r>
      <w:r w:rsidR="00467315" w:rsidRPr="004E2959">
        <w:rPr>
          <w:lang w:val="en-GB"/>
        </w:rPr>
        <w:t xml:space="preserve"> strategies to reduce risk and incidence of sexual violence in conflict and post-conflict zones. </w:t>
      </w:r>
      <w:r w:rsidR="004E301C" w:rsidRPr="004E2959">
        <w:rPr>
          <w:lang w:val="en-GB"/>
        </w:rPr>
        <w:t>The review examined efforts to address sexual</w:t>
      </w:r>
      <w:r w:rsidR="00467315" w:rsidRPr="004E2959">
        <w:rPr>
          <w:lang w:val="en-GB"/>
        </w:rPr>
        <w:t xml:space="preserve"> violence as a tactic of armed conflict</w:t>
      </w:r>
      <w:r w:rsidR="004E301C" w:rsidRPr="004E2959">
        <w:rPr>
          <w:lang w:val="en-GB"/>
        </w:rPr>
        <w:t xml:space="preserve">; opportunistic sexual </w:t>
      </w:r>
      <w:r w:rsidR="00467315" w:rsidRPr="004E2959">
        <w:rPr>
          <w:lang w:val="en-GB"/>
        </w:rPr>
        <w:t>violence due to situational vulnerability</w:t>
      </w:r>
      <w:r w:rsidR="004E301C" w:rsidRPr="004E2959">
        <w:rPr>
          <w:lang w:val="en-GB"/>
        </w:rPr>
        <w:t>;</w:t>
      </w:r>
      <w:r w:rsidR="00467315" w:rsidRPr="004E2959">
        <w:rPr>
          <w:lang w:val="en-GB"/>
        </w:rPr>
        <w:t xml:space="preserve"> </w:t>
      </w:r>
      <w:r w:rsidR="004E301C" w:rsidRPr="004E2959">
        <w:rPr>
          <w:lang w:val="en-GB"/>
        </w:rPr>
        <w:t xml:space="preserve">sexual </w:t>
      </w:r>
      <w:r w:rsidR="00467315" w:rsidRPr="004E2959">
        <w:rPr>
          <w:lang w:val="en-GB"/>
        </w:rPr>
        <w:t xml:space="preserve">violence as a form of exploitation by peace keepers/humanitarian staff, and </w:t>
      </w:r>
      <w:r w:rsidR="004E301C" w:rsidRPr="004E2959">
        <w:rPr>
          <w:lang w:val="en-GB"/>
        </w:rPr>
        <w:t xml:space="preserve">sexual </w:t>
      </w:r>
      <w:r w:rsidR="00467315" w:rsidRPr="004E2959">
        <w:rPr>
          <w:lang w:val="en-GB"/>
        </w:rPr>
        <w:t>violence as a form of familial or community violence exacerbated by weakened social or legal structures.</w:t>
      </w:r>
      <w:r w:rsidR="00C12571" w:rsidRPr="004E2959">
        <w:rPr>
          <w:lang w:val="en-GB"/>
        </w:rPr>
        <w:t xml:space="preserve"> </w:t>
      </w:r>
      <w:r w:rsidR="00F224C4" w:rsidRPr="004E2959">
        <w:rPr>
          <w:lang w:val="en-GB"/>
        </w:rPr>
        <w:t>The</w:t>
      </w:r>
      <w:r w:rsidR="004E301C" w:rsidRPr="004E2959">
        <w:rPr>
          <w:lang w:val="en-GB"/>
        </w:rPr>
        <w:t xml:space="preserve"> review revealed</w:t>
      </w:r>
      <w:r w:rsidR="00F224C4" w:rsidRPr="004E2959">
        <w:rPr>
          <w:lang w:val="en-GB"/>
        </w:rPr>
        <w:t xml:space="preserve"> an a</w:t>
      </w:r>
      <w:r w:rsidR="00C12571" w:rsidRPr="004E2959">
        <w:rPr>
          <w:lang w:val="en-GB"/>
        </w:rPr>
        <w:t>cute lack of evaluation of interventions</w:t>
      </w:r>
      <w:r w:rsidR="00D013F1">
        <w:rPr>
          <w:lang w:val="en-GB"/>
        </w:rPr>
        <w:t>.</w:t>
      </w:r>
      <w:r w:rsidR="004E301C" w:rsidRPr="004E2959">
        <w:rPr>
          <w:lang w:val="en-GB"/>
        </w:rPr>
        <w:t xml:space="preserve"> </w:t>
      </w:r>
      <w:r w:rsidR="00D013F1">
        <w:rPr>
          <w:lang w:val="en-GB"/>
        </w:rPr>
        <w:t>N</w:t>
      </w:r>
      <w:r w:rsidR="00C12571" w:rsidRPr="004E2959">
        <w:rPr>
          <w:lang w:val="en-GB"/>
        </w:rPr>
        <w:t xml:space="preserve">one of the studies </w:t>
      </w:r>
      <w:r w:rsidR="004E301C" w:rsidRPr="004E2959">
        <w:rPr>
          <w:lang w:val="en-GB"/>
        </w:rPr>
        <w:t xml:space="preserve">examined having </w:t>
      </w:r>
      <w:r w:rsidR="00C12571" w:rsidRPr="004E2959">
        <w:rPr>
          <w:lang w:val="en-GB"/>
        </w:rPr>
        <w:t xml:space="preserve">measured </w:t>
      </w:r>
      <w:r w:rsidR="00F224C4" w:rsidRPr="004E2959">
        <w:rPr>
          <w:lang w:val="en-GB"/>
        </w:rPr>
        <w:t xml:space="preserve">whether an intervention actually </w:t>
      </w:r>
      <w:r w:rsidR="00C12571" w:rsidRPr="004E2959">
        <w:rPr>
          <w:lang w:val="en-GB"/>
        </w:rPr>
        <w:t xml:space="preserve">reduced </w:t>
      </w:r>
      <w:r w:rsidR="004E301C" w:rsidRPr="004E2959">
        <w:rPr>
          <w:lang w:val="en-GB"/>
        </w:rPr>
        <w:t xml:space="preserve">the </w:t>
      </w:r>
      <w:r w:rsidR="00C12571" w:rsidRPr="004E2959">
        <w:rPr>
          <w:lang w:val="en-GB"/>
        </w:rPr>
        <w:t>incidence of sexual violence.</w:t>
      </w:r>
      <w:r w:rsidR="005236A8" w:rsidRPr="004E2959">
        <w:rPr>
          <w:lang w:val="en-GB"/>
        </w:rPr>
        <w:t xml:space="preserve"> Promising interventions</w:t>
      </w:r>
      <w:r w:rsidR="00FB15B0" w:rsidRPr="004E2959">
        <w:rPr>
          <w:lang w:val="en-GB"/>
        </w:rPr>
        <w:t xml:space="preserve"> for primary prevention</w:t>
      </w:r>
      <w:r w:rsidR="005236A8" w:rsidRPr="004E2959">
        <w:rPr>
          <w:lang w:val="en-GB"/>
        </w:rPr>
        <w:t xml:space="preserve"> include </w:t>
      </w:r>
      <w:r w:rsidR="00FB15B0" w:rsidRPr="004E2959">
        <w:rPr>
          <w:lang w:val="en-GB"/>
        </w:rPr>
        <w:t>firewood provision / patrols / alternative fuels</w:t>
      </w:r>
      <w:r w:rsidR="004E301C" w:rsidRPr="004E2959">
        <w:rPr>
          <w:lang w:val="en-GB"/>
        </w:rPr>
        <w:t>,</w:t>
      </w:r>
      <w:r w:rsidR="00F224C4" w:rsidRPr="004E2959">
        <w:rPr>
          <w:lang w:val="en-GB"/>
        </w:rPr>
        <w:t xml:space="preserve"> and</w:t>
      </w:r>
      <w:r w:rsidR="00FB15B0" w:rsidRPr="004E2959">
        <w:rPr>
          <w:lang w:val="en-GB"/>
        </w:rPr>
        <w:t xml:space="preserve"> zero tolerance policies for </w:t>
      </w:r>
      <w:r w:rsidR="004E301C" w:rsidRPr="004E2959">
        <w:rPr>
          <w:lang w:val="en-GB"/>
        </w:rPr>
        <w:t xml:space="preserve">sexual violence on the part of </w:t>
      </w:r>
      <w:r w:rsidR="00FB15B0" w:rsidRPr="004E2959">
        <w:rPr>
          <w:lang w:val="en-GB"/>
        </w:rPr>
        <w:t>peacekeepers</w:t>
      </w:r>
      <w:r w:rsidR="004E301C" w:rsidRPr="004E2959">
        <w:rPr>
          <w:lang w:val="en-GB"/>
        </w:rPr>
        <w:t>/humanitarian staff</w:t>
      </w:r>
      <w:r w:rsidR="00FB15B0" w:rsidRPr="004E2959">
        <w:rPr>
          <w:lang w:val="en-GB"/>
        </w:rPr>
        <w:t>. Legal interventions were not associated with reduced risk. Promising interve</w:t>
      </w:r>
      <w:r w:rsidR="00F224C4" w:rsidRPr="004E2959">
        <w:rPr>
          <w:lang w:val="en-GB"/>
        </w:rPr>
        <w:t>ntions for secondary prevention included</w:t>
      </w:r>
      <w:r w:rsidR="00FB15B0" w:rsidRPr="004E2959">
        <w:rPr>
          <w:lang w:val="en-GB"/>
        </w:rPr>
        <w:t xml:space="preserve"> providing medical care </w:t>
      </w:r>
      <w:r w:rsidR="00F224C4" w:rsidRPr="004E2959">
        <w:rPr>
          <w:lang w:val="en-GB"/>
        </w:rPr>
        <w:t>and psychosocial services</w:t>
      </w:r>
      <w:r w:rsidR="0088286C" w:rsidRPr="004E2959">
        <w:rPr>
          <w:lang w:val="en-GB"/>
        </w:rPr>
        <w:t xml:space="preserve">, </w:t>
      </w:r>
      <w:r w:rsidR="00F224C4" w:rsidRPr="004E2959">
        <w:rPr>
          <w:lang w:val="en-GB"/>
        </w:rPr>
        <w:t xml:space="preserve">and the </w:t>
      </w:r>
      <w:r w:rsidR="0088286C" w:rsidRPr="004E2959">
        <w:rPr>
          <w:lang w:val="en-GB"/>
        </w:rPr>
        <w:t xml:space="preserve">participation in self-help groups. </w:t>
      </w:r>
      <w:r w:rsidR="00ED2E35">
        <w:rPr>
          <w:lang w:val="en-GB"/>
        </w:rPr>
        <w:t>He</w:t>
      </w:r>
      <w:r w:rsidR="00D013F1">
        <w:rPr>
          <w:lang w:val="en-GB"/>
        </w:rPr>
        <w:t xml:space="preserve"> highlight</w:t>
      </w:r>
      <w:r w:rsidR="00ED2E35">
        <w:rPr>
          <w:lang w:val="en-GB"/>
        </w:rPr>
        <w:t>ed</w:t>
      </w:r>
      <w:r w:rsidR="00D013F1">
        <w:rPr>
          <w:lang w:val="en-GB"/>
        </w:rPr>
        <w:t xml:space="preserve"> the underlying mechanisms that </w:t>
      </w:r>
      <w:r w:rsidR="00F279EF">
        <w:rPr>
          <w:lang w:val="en-GB"/>
        </w:rPr>
        <w:t xml:space="preserve">could contribute to reduced risk: First, </w:t>
      </w:r>
      <w:r w:rsidR="00D013F1">
        <w:rPr>
          <w:lang w:val="en-GB"/>
        </w:rPr>
        <w:t xml:space="preserve">that women need to feel empowered to </w:t>
      </w:r>
      <w:r w:rsidR="00ED2E35">
        <w:rPr>
          <w:lang w:val="en-GB"/>
        </w:rPr>
        <w:t xml:space="preserve">know </w:t>
      </w:r>
      <w:r w:rsidR="00D013F1">
        <w:rPr>
          <w:lang w:val="en-GB"/>
        </w:rPr>
        <w:t>that they have rights</w:t>
      </w:r>
      <w:r w:rsidR="00F279EF">
        <w:rPr>
          <w:lang w:val="en-GB"/>
        </w:rPr>
        <w:t xml:space="preserve">; </w:t>
      </w:r>
      <w:proofErr w:type="gramStart"/>
      <w:r w:rsidR="00F279EF">
        <w:rPr>
          <w:lang w:val="en-GB"/>
        </w:rPr>
        <w:t>Second</w:t>
      </w:r>
      <w:proofErr w:type="gramEnd"/>
      <w:r w:rsidR="00D013F1">
        <w:rPr>
          <w:lang w:val="en-GB"/>
        </w:rPr>
        <w:t>, they need to know that there is help (e.g. services) for the problem</w:t>
      </w:r>
      <w:r w:rsidR="00F279EF">
        <w:rPr>
          <w:lang w:val="en-GB"/>
        </w:rPr>
        <w:t>,</w:t>
      </w:r>
      <w:r w:rsidR="00D013F1">
        <w:rPr>
          <w:lang w:val="en-GB"/>
        </w:rPr>
        <w:t xml:space="preserve"> </w:t>
      </w:r>
      <w:r w:rsidR="00F279EF">
        <w:rPr>
          <w:lang w:val="en-GB"/>
        </w:rPr>
        <w:t>third that rape be de-</w:t>
      </w:r>
      <w:proofErr w:type="spellStart"/>
      <w:r w:rsidR="00F279EF">
        <w:rPr>
          <w:lang w:val="en-GB"/>
        </w:rPr>
        <w:t>normatized</w:t>
      </w:r>
      <w:proofErr w:type="spellEnd"/>
      <w:r w:rsidR="00F279EF">
        <w:rPr>
          <w:lang w:val="en-GB"/>
        </w:rPr>
        <w:t xml:space="preserve"> and made socially </w:t>
      </w:r>
      <w:r w:rsidR="00D013F1">
        <w:rPr>
          <w:lang w:val="en-GB"/>
        </w:rPr>
        <w:t>unacceptable</w:t>
      </w:r>
      <w:r w:rsidR="00F279EF">
        <w:rPr>
          <w:lang w:val="en-GB"/>
        </w:rPr>
        <w:t>,</w:t>
      </w:r>
      <w:r w:rsidR="00D013F1">
        <w:rPr>
          <w:lang w:val="en-GB"/>
        </w:rPr>
        <w:t xml:space="preserve"> and fourth </w:t>
      </w:r>
      <w:r w:rsidR="00F279EF">
        <w:rPr>
          <w:lang w:val="en-GB"/>
        </w:rPr>
        <w:t>that</w:t>
      </w:r>
      <w:r w:rsidR="00D013F1">
        <w:rPr>
          <w:lang w:val="en-GB"/>
        </w:rPr>
        <w:t xml:space="preserve"> community members be empower</w:t>
      </w:r>
      <w:r w:rsidR="00F279EF">
        <w:rPr>
          <w:lang w:val="en-GB"/>
        </w:rPr>
        <w:t>ed to find their own solutions.</w:t>
      </w:r>
    </w:p>
    <w:p w:rsidR="00950B78" w:rsidRPr="004E2959" w:rsidRDefault="00950B78" w:rsidP="00ED2E35">
      <w:pPr>
        <w:rPr>
          <w:lang w:val="en-GB"/>
        </w:rPr>
      </w:pPr>
      <w:r w:rsidRPr="004E2959">
        <w:rPr>
          <w:b/>
          <w:bCs/>
          <w:lang w:val="en-GB"/>
        </w:rPr>
        <w:t>Claudia Garcia-Moreno</w:t>
      </w:r>
      <w:r w:rsidRPr="004E2959">
        <w:rPr>
          <w:lang w:val="en-GB"/>
        </w:rPr>
        <w:t xml:space="preserve">, </w:t>
      </w:r>
      <w:r w:rsidR="002E0508" w:rsidRPr="004E2959">
        <w:rPr>
          <w:lang w:val="en-GB"/>
        </w:rPr>
        <w:t>team leader</w:t>
      </w:r>
      <w:r w:rsidR="00EA6942">
        <w:rPr>
          <w:lang w:val="en-GB"/>
        </w:rPr>
        <w:t xml:space="preserve"> for the Sexual Health, Gender, Rights and Adolescence unit</w:t>
      </w:r>
      <w:r w:rsidRPr="004E2959">
        <w:rPr>
          <w:lang w:val="en-GB"/>
        </w:rPr>
        <w:t xml:space="preserve"> in the </w:t>
      </w:r>
      <w:r w:rsidR="00586F78" w:rsidRPr="004E2959">
        <w:rPr>
          <w:lang w:val="en-GB"/>
        </w:rPr>
        <w:t xml:space="preserve">WHO </w:t>
      </w:r>
      <w:r w:rsidRPr="004E2959">
        <w:rPr>
          <w:lang w:val="en-GB"/>
        </w:rPr>
        <w:t xml:space="preserve">Department of Reproductive Health and Research, </w:t>
      </w:r>
      <w:r w:rsidR="00586F78" w:rsidRPr="004E2959">
        <w:rPr>
          <w:lang w:val="en-GB"/>
        </w:rPr>
        <w:t xml:space="preserve">described </w:t>
      </w:r>
      <w:proofErr w:type="gramStart"/>
      <w:r w:rsidR="006D156F" w:rsidRPr="004E2959">
        <w:rPr>
          <w:lang w:val="en-GB"/>
        </w:rPr>
        <w:t>WHO</w:t>
      </w:r>
      <w:r w:rsidR="00586F78" w:rsidRPr="004E2959">
        <w:rPr>
          <w:lang w:val="en-GB"/>
        </w:rPr>
        <w:t>’</w:t>
      </w:r>
      <w:r w:rsidR="006D156F" w:rsidRPr="004E2959">
        <w:rPr>
          <w:lang w:val="en-GB"/>
        </w:rPr>
        <w:t xml:space="preserve">s </w:t>
      </w:r>
      <w:r w:rsidR="00EA6942">
        <w:rPr>
          <w:lang w:val="en-GB"/>
        </w:rPr>
        <w:t xml:space="preserve">previous and </w:t>
      </w:r>
      <w:proofErr w:type="spellStart"/>
      <w:r w:rsidR="00EA6942">
        <w:rPr>
          <w:lang w:val="en-GB"/>
        </w:rPr>
        <w:t>ongoing</w:t>
      </w:r>
      <w:proofErr w:type="spellEnd"/>
      <w:r w:rsidR="00EA6942" w:rsidRPr="004E2959">
        <w:rPr>
          <w:lang w:val="en-GB"/>
        </w:rPr>
        <w:t xml:space="preserve"> </w:t>
      </w:r>
      <w:r w:rsidR="006D156F" w:rsidRPr="004E2959">
        <w:rPr>
          <w:lang w:val="en-GB"/>
        </w:rPr>
        <w:t>activities</w:t>
      </w:r>
      <w:proofErr w:type="gramEnd"/>
      <w:r w:rsidR="006D156F" w:rsidRPr="004E2959">
        <w:rPr>
          <w:lang w:val="en-GB"/>
        </w:rPr>
        <w:t xml:space="preserve"> </w:t>
      </w:r>
      <w:r w:rsidR="00586F78" w:rsidRPr="004E2959">
        <w:rPr>
          <w:lang w:val="en-GB"/>
        </w:rPr>
        <w:t xml:space="preserve">on </w:t>
      </w:r>
      <w:r w:rsidR="006D156F" w:rsidRPr="004E2959">
        <w:rPr>
          <w:lang w:val="en-GB"/>
        </w:rPr>
        <w:t xml:space="preserve">conflict-related sexual violence. Most work has been </w:t>
      </w:r>
      <w:r w:rsidR="00586F78" w:rsidRPr="004E2959">
        <w:rPr>
          <w:lang w:val="en-GB"/>
        </w:rPr>
        <w:t xml:space="preserve">conducted within the framework of </w:t>
      </w:r>
      <w:r w:rsidR="006D156F" w:rsidRPr="004E2959">
        <w:rPr>
          <w:lang w:val="en-GB"/>
        </w:rPr>
        <w:t xml:space="preserve">UN Action, </w:t>
      </w:r>
      <w:r w:rsidR="00586F78" w:rsidRPr="004E2959">
        <w:rPr>
          <w:lang w:val="en-GB"/>
        </w:rPr>
        <w:t>which convenes</w:t>
      </w:r>
      <w:r w:rsidR="006D156F" w:rsidRPr="004E2959">
        <w:rPr>
          <w:lang w:val="en-GB"/>
        </w:rPr>
        <w:t xml:space="preserve"> 13 UN agencies to bridge humanitarian and peacekeeping work</w:t>
      </w:r>
      <w:r w:rsidR="00E142CB" w:rsidRPr="004E2959">
        <w:rPr>
          <w:lang w:val="en-GB"/>
        </w:rPr>
        <w:t xml:space="preserve"> </w:t>
      </w:r>
      <w:r w:rsidR="00586F78" w:rsidRPr="004E2959">
        <w:rPr>
          <w:lang w:val="en-GB"/>
        </w:rPr>
        <w:t xml:space="preserve">on </w:t>
      </w:r>
      <w:r w:rsidR="00E142CB" w:rsidRPr="004E2959">
        <w:rPr>
          <w:lang w:val="en-GB"/>
        </w:rPr>
        <w:t xml:space="preserve">conflict-related sexual violence. </w:t>
      </w:r>
      <w:r w:rsidR="006D156F" w:rsidRPr="004E2959">
        <w:rPr>
          <w:lang w:val="en-GB"/>
        </w:rPr>
        <w:t xml:space="preserve">WHO </w:t>
      </w:r>
      <w:r w:rsidR="00EA6942">
        <w:rPr>
          <w:lang w:val="en-GB"/>
        </w:rPr>
        <w:t>leads the knowledge pillar of UN action and contributes to building evidence, establishing data collection methods and developing a research agenda</w:t>
      </w:r>
      <w:r w:rsidR="006D156F" w:rsidRPr="004E2959">
        <w:rPr>
          <w:lang w:val="en-GB"/>
        </w:rPr>
        <w:t xml:space="preserve">. </w:t>
      </w:r>
      <w:r w:rsidR="00586F78" w:rsidRPr="004E2959">
        <w:rPr>
          <w:lang w:val="en-GB"/>
        </w:rPr>
        <w:t xml:space="preserve">Several </w:t>
      </w:r>
      <w:r w:rsidR="006D156F" w:rsidRPr="004E2959">
        <w:rPr>
          <w:lang w:val="en-GB"/>
        </w:rPr>
        <w:t xml:space="preserve">data collection instruments </w:t>
      </w:r>
      <w:r w:rsidR="00586F78" w:rsidRPr="004E2959">
        <w:rPr>
          <w:lang w:val="en-GB"/>
        </w:rPr>
        <w:t xml:space="preserve">have been </w:t>
      </w:r>
      <w:r w:rsidR="006D156F" w:rsidRPr="004E2959">
        <w:rPr>
          <w:lang w:val="en-GB"/>
        </w:rPr>
        <w:t xml:space="preserve">developed, </w:t>
      </w:r>
      <w:r w:rsidR="00586F78" w:rsidRPr="004E2959">
        <w:rPr>
          <w:lang w:val="en-GB"/>
        </w:rPr>
        <w:t xml:space="preserve">including </w:t>
      </w:r>
      <w:r w:rsidR="006D156F" w:rsidRPr="004E2959">
        <w:rPr>
          <w:lang w:val="en-GB"/>
        </w:rPr>
        <w:t>questionnaire</w:t>
      </w:r>
      <w:r w:rsidR="00586F78" w:rsidRPr="004E2959">
        <w:rPr>
          <w:lang w:val="en-GB"/>
        </w:rPr>
        <w:t>s</w:t>
      </w:r>
      <w:r w:rsidR="006D156F" w:rsidRPr="004E2959">
        <w:rPr>
          <w:lang w:val="en-GB"/>
        </w:rPr>
        <w:t xml:space="preserve"> </w:t>
      </w:r>
      <w:r w:rsidR="00586F78" w:rsidRPr="004E2959">
        <w:rPr>
          <w:lang w:val="en-GB"/>
        </w:rPr>
        <w:t xml:space="preserve">to </w:t>
      </w:r>
      <w:r w:rsidR="006D156F" w:rsidRPr="004E2959">
        <w:rPr>
          <w:lang w:val="en-GB"/>
        </w:rPr>
        <w:t>captur</w:t>
      </w:r>
      <w:r w:rsidR="00586F78" w:rsidRPr="004E2959">
        <w:rPr>
          <w:lang w:val="en-GB"/>
        </w:rPr>
        <w:t>e</w:t>
      </w:r>
      <w:r w:rsidR="006D156F" w:rsidRPr="004E2959">
        <w:rPr>
          <w:lang w:val="en-GB"/>
        </w:rPr>
        <w:t xml:space="preserve"> </w:t>
      </w:r>
      <w:r w:rsidR="00586F78" w:rsidRPr="004E2959">
        <w:rPr>
          <w:lang w:val="en-GB"/>
        </w:rPr>
        <w:t xml:space="preserve">information on the </w:t>
      </w:r>
      <w:r w:rsidR="006D156F" w:rsidRPr="004E2959">
        <w:rPr>
          <w:lang w:val="en-GB"/>
        </w:rPr>
        <w:t>prevalence</w:t>
      </w:r>
      <w:r w:rsidR="00586F78" w:rsidRPr="004E2959">
        <w:rPr>
          <w:lang w:val="en-GB"/>
        </w:rPr>
        <w:t>,</w:t>
      </w:r>
      <w:r w:rsidR="006D156F" w:rsidRPr="004E2959">
        <w:rPr>
          <w:lang w:val="en-GB"/>
        </w:rPr>
        <w:t xml:space="preserve"> </w:t>
      </w:r>
      <w:r w:rsidR="00ED2E35">
        <w:rPr>
          <w:lang w:val="en-GB"/>
        </w:rPr>
        <w:t xml:space="preserve">consequences, and </w:t>
      </w:r>
      <w:r w:rsidR="006D156F" w:rsidRPr="004E2959">
        <w:rPr>
          <w:lang w:val="en-GB"/>
        </w:rPr>
        <w:t xml:space="preserve">risk and protective factors </w:t>
      </w:r>
      <w:r w:rsidR="00586F78" w:rsidRPr="004E2959">
        <w:rPr>
          <w:lang w:val="en-GB"/>
        </w:rPr>
        <w:t>for</w:t>
      </w:r>
      <w:r w:rsidR="006D156F" w:rsidRPr="004E2959">
        <w:rPr>
          <w:lang w:val="en-GB"/>
        </w:rPr>
        <w:t xml:space="preserve"> sexual </w:t>
      </w:r>
      <w:r w:rsidR="00ED2E35">
        <w:rPr>
          <w:lang w:val="en-GB"/>
        </w:rPr>
        <w:t xml:space="preserve">and other forms of </w:t>
      </w:r>
      <w:r w:rsidR="006D156F" w:rsidRPr="004E2959">
        <w:rPr>
          <w:lang w:val="en-GB"/>
        </w:rPr>
        <w:t>violence</w:t>
      </w:r>
      <w:r w:rsidR="00ED2E35">
        <w:rPr>
          <w:lang w:val="en-GB"/>
        </w:rPr>
        <w:t xml:space="preserve"> in conflict-affected settings</w:t>
      </w:r>
      <w:r w:rsidR="00586F78" w:rsidRPr="004E2959">
        <w:rPr>
          <w:lang w:val="en-GB"/>
        </w:rPr>
        <w:t xml:space="preserve">. </w:t>
      </w:r>
      <w:r w:rsidR="006D156F" w:rsidRPr="004E2959">
        <w:rPr>
          <w:lang w:val="en-GB"/>
        </w:rPr>
        <w:t xml:space="preserve">WHO </w:t>
      </w:r>
      <w:r w:rsidR="00586F78" w:rsidRPr="004E2959">
        <w:rPr>
          <w:lang w:val="en-GB"/>
        </w:rPr>
        <w:t xml:space="preserve">has also </w:t>
      </w:r>
      <w:r w:rsidR="006D156F" w:rsidRPr="004E2959">
        <w:rPr>
          <w:lang w:val="en-GB"/>
        </w:rPr>
        <w:t xml:space="preserve">contributed to </w:t>
      </w:r>
      <w:r w:rsidR="00E142CB" w:rsidRPr="004E2959">
        <w:rPr>
          <w:lang w:val="en-GB"/>
        </w:rPr>
        <w:t>a</w:t>
      </w:r>
      <w:r w:rsidR="006D156F" w:rsidRPr="004E2959">
        <w:rPr>
          <w:lang w:val="en-GB"/>
        </w:rPr>
        <w:t xml:space="preserve"> </w:t>
      </w:r>
      <w:r w:rsidR="00586F78" w:rsidRPr="004E2959">
        <w:rPr>
          <w:lang w:val="en-GB"/>
        </w:rPr>
        <w:t xml:space="preserve">gender-based violence </w:t>
      </w:r>
      <w:r w:rsidR="006D156F" w:rsidRPr="004E2959">
        <w:rPr>
          <w:lang w:val="en-GB"/>
        </w:rPr>
        <w:t xml:space="preserve">management information system </w:t>
      </w:r>
      <w:r w:rsidR="00586F78" w:rsidRPr="004E2959">
        <w:rPr>
          <w:lang w:val="en-GB"/>
        </w:rPr>
        <w:t xml:space="preserve">that </w:t>
      </w:r>
      <w:r w:rsidR="006D156F" w:rsidRPr="004E2959">
        <w:rPr>
          <w:lang w:val="en-GB"/>
        </w:rPr>
        <w:t>promot</w:t>
      </w:r>
      <w:r w:rsidR="00586F78" w:rsidRPr="004E2959">
        <w:rPr>
          <w:lang w:val="en-GB"/>
        </w:rPr>
        <w:t>es</w:t>
      </w:r>
      <w:r w:rsidR="006D156F" w:rsidRPr="004E2959">
        <w:rPr>
          <w:lang w:val="en-GB"/>
        </w:rPr>
        <w:t xml:space="preserve"> standardized data collection across agencies</w:t>
      </w:r>
      <w:r w:rsidR="00586F78" w:rsidRPr="004E2959">
        <w:rPr>
          <w:lang w:val="en-GB"/>
        </w:rPr>
        <w:t>;</w:t>
      </w:r>
      <w:r w:rsidR="006D156F" w:rsidRPr="004E2959">
        <w:rPr>
          <w:lang w:val="en-GB"/>
        </w:rPr>
        <w:t xml:space="preserve"> developed a research agenda on conflict-related sexual violence</w:t>
      </w:r>
      <w:r w:rsidR="00586F78" w:rsidRPr="004E2959">
        <w:rPr>
          <w:lang w:val="en-GB"/>
        </w:rPr>
        <w:t>,</w:t>
      </w:r>
      <w:r w:rsidR="006D156F" w:rsidRPr="004E2959">
        <w:rPr>
          <w:lang w:val="en-GB"/>
        </w:rPr>
        <w:t xml:space="preserve"> and </w:t>
      </w:r>
      <w:r w:rsidR="00586F78" w:rsidRPr="004E2959">
        <w:rPr>
          <w:lang w:val="en-GB"/>
        </w:rPr>
        <w:t xml:space="preserve">held </w:t>
      </w:r>
      <w:r w:rsidR="006D156F" w:rsidRPr="004E2959">
        <w:rPr>
          <w:lang w:val="en-GB"/>
        </w:rPr>
        <w:t xml:space="preserve">expert meetings on </w:t>
      </w:r>
      <w:r w:rsidR="00E142CB" w:rsidRPr="004E2959">
        <w:rPr>
          <w:lang w:val="en-GB"/>
        </w:rPr>
        <w:t>mental health and psychosocial support</w:t>
      </w:r>
      <w:r w:rsidR="006D156F" w:rsidRPr="004E2959">
        <w:rPr>
          <w:lang w:val="en-GB"/>
        </w:rPr>
        <w:t xml:space="preserve"> for victims of sexual </w:t>
      </w:r>
      <w:proofErr w:type="gramStart"/>
      <w:r w:rsidR="006D156F" w:rsidRPr="004E2959">
        <w:rPr>
          <w:lang w:val="en-GB"/>
        </w:rPr>
        <w:t>violence.</w:t>
      </w:r>
      <w:proofErr w:type="gramEnd"/>
      <w:r w:rsidR="00EA6942">
        <w:rPr>
          <w:lang w:val="en-GB"/>
        </w:rPr>
        <w:t xml:space="preserve">  The WHO work plan on sexual violence in conflicts builds on the </w:t>
      </w:r>
      <w:r w:rsidR="00ED2E35">
        <w:rPr>
          <w:lang w:val="en-GB"/>
        </w:rPr>
        <w:t>on-going</w:t>
      </w:r>
      <w:r w:rsidR="00EA6942">
        <w:rPr>
          <w:lang w:val="en-GB"/>
        </w:rPr>
        <w:t xml:space="preserve"> collective work of UN Action that has been done with other agencies and across </w:t>
      </w:r>
      <w:r w:rsidR="00ED2E35">
        <w:rPr>
          <w:lang w:val="en-GB"/>
        </w:rPr>
        <w:t xml:space="preserve">WHO </w:t>
      </w:r>
      <w:r w:rsidR="00EA6942">
        <w:rPr>
          <w:lang w:val="en-GB"/>
        </w:rPr>
        <w:t xml:space="preserve">departments. </w:t>
      </w:r>
    </w:p>
    <w:p w:rsidR="0038176D" w:rsidRDefault="00BD3E26" w:rsidP="00ED2E35">
      <w:pPr>
        <w:rPr>
          <w:lang w:val="en-GB"/>
        </w:rPr>
      </w:pPr>
      <w:r w:rsidRPr="004E2959">
        <w:rPr>
          <w:b/>
          <w:bCs/>
          <w:lang w:val="en-GB"/>
        </w:rPr>
        <w:t>Alexander Butchart</w:t>
      </w:r>
      <w:r w:rsidRPr="004E2959">
        <w:rPr>
          <w:lang w:val="en-GB"/>
        </w:rPr>
        <w:t xml:space="preserve">, coordinator of Violence Prevention at </w:t>
      </w:r>
      <w:proofErr w:type="gramStart"/>
      <w:r w:rsidRPr="004E2959">
        <w:rPr>
          <w:lang w:val="en-GB"/>
        </w:rPr>
        <w:t>WHO</w:t>
      </w:r>
      <w:proofErr w:type="gramEnd"/>
      <w:r w:rsidRPr="004E2959">
        <w:rPr>
          <w:lang w:val="en-GB"/>
        </w:rPr>
        <w:t>, presented the draft WHO</w:t>
      </w:r>
      <w:r>
        <w:rPr>
          <w:lang w:val="en-GB"/>
        </w:rPr>
        <w:t>-</w:t>
      </w:r>
      <w:r w:rsidRPr="004E2959">
        <w:rPr>
          <w:lang w:val="en-GB"/>
        </w:rPr>
        <w:t xml:space="preserve">wide </w:t>
      </w:r>
      <w:r w:rsidRPr="009C5F31">
        <w:rPr>
          <w:lang w:val="en-GB"/>
        </w:rPr>
        <w:t>work plan</w:t>
      </w:r>
      <w:r w:rsidRPr="004E2959">
        <w:rPr>
          <w:lang w:val="en-GB"/>
        </w:rPr>
        <w:t xml:space="preserve"> to address sexual violence in conflict-affected settings. </w:t>
      </w:r>
      <w:r w:rsidR="0038176D" w:rsidRPr="004E2959">
        <w:rPr>
          <w:lang w:val="en-GB"/>
        </w:rPr>
        <w:t xml:space="preserve">The plan (attached) outlines </w:t>
      </w:r>
      <w:proofErr w:type="gramStart"/>
      <w:r w:rsidR="009D59F5" w:rsidRPr="004E2959">
        <w:rPr>
          <w:lang w:val="en-GB"/>
        </w:rPr>
        <w:t>WHO</w:t>
      </w:r>
      <w:r w:rsidR="00586F78" w:rsidRPr="004E2959">
        <w:rPr>
          <w:lang w:val="en-GB"/>
        </w:rPr>
        <w:t>’</w:t>
      </w:r>
      <w:r w:rsidR="009D59F5" w:rsidRPr="004E2959">
        <w:rPr>
          <w:lang w:val="en-GB"/>
        </w:rPr>
        <w:t>s</w:t>
      </w:r>
      <w:proofErr w:type="gramEnd"/>
      <w:r w:rsidR="009D59F5" w:rsidRPr="004E2959">
        <w:rPr>
          <w:lang w:val="en-GB"/>
        </w:rPr>
        <w:t xml:space="preserve"> suggested contribution over the next 3-5 years for five results areas. Expected results include an improved understanding of </w:t>
      </w:r>
      <w:r w:rsidR="00586F78" w:rsidRPr="004E2959">
        <w:rPr>
          <w:lang w:val="en-GB"/>
        </w:rPr>
        <w:t xml:space="preserve">the </w:t>
      </w:r>
      <w:r w:rsidR="009D59F5" w:rsidRPr="004E2959">
        <w:rPr>
          <w:lang w:val="en-GB"/>
        </w:rPr>
        <w:t>magnitude and nature of conflict-related sexual violence</w:t>
      </w:r>
      <w:r w:rsidR="00586F78" w:rsidRPr="004E2959">
        <w:rPr>
          <w:lang w:val="en-GB"/>
        </w:rPr>
        <w:t>,</w:t>
      </w:r>
      <w:r w:rsidR="009D59F5" w:rsidRPr="004E2959">
        <w:rPr>
          <w:lang w:val="en-GB"/>
        </w:rPr>
        <w:t xml:space="preserve"> and better evidence on what works to prevent and respond to sexual violence. It further aims to strengthen policy response at country level</w:t>
      </w:r>
      <w:r w:rsidR="00586F78" w:rsidRPr="004E2959">
        <w:rPr>
          <w:lang w:val="en-GB"/>
        </w:rPr>
        <w:t>,</w:t>
      </w:r>
      <w:r w:rsidR="009D59F5" w:rsidRPr="004E2959">
        <w:rPr>
          <w:lang w:val="en-GB"/>
        </w:rPr>
        <w:t xml:space="preserve"> and improve programmes to prevent </w:t>
      </w:r>
      <w:r w:rsidR="00586F78" w:rsidRPr="004E2959">
        <w:rPr>
          <w:lang w:val="en-GB"/>
        </w:rPr>
        <w:t>sexual violence and provide services for victims</w:t>
      </w:r>
      <w:r w:rsidR="009D59F5" w:rsidRPr="004E2959">
        <w:rPr>
          <w:lang w:val="en-GB"/>
        </w:rPr>
        <w:t xml:space="preserve">. </w:t>
      </w:r>
      <w:r w:rsidR="00586F78" w:rsidRPr="004E2959">
        <w:rPr>
          <w:lang w:val="en-GB"/>
        </w:rPr>
        <w:t xml:space="preserve">The </w:t>
      </w:r>
      <w:r w:rsidR="009D59F5" w:rsidRPr="004E2959">
        <w:rPr>
          <w:lang w:val="en-GB"/>
        </w:rPr>
        <w:t xml:space="preserve">WHO plan </w:t>
      </w:r>
      <w:r w:rsidR="00586F78" w:rsidRPr="004E2959">
        <w:rPr>
          <w:lang w:val="en-GB"/>
        </w:rPr>
        <w:t xml:space="preserve">also includes mechanisms </w:t>
      </w:r>
      <w:r w:rsidR="009D59F5" w:rsidRPr="004E2959">
        <w:rPr>
          <w:lang w:val="en-GB"/>
        </w:rPr>
        <w:t>to increase</w:t>
      </w:r>
      <w:r w:rsidR="00586F78" w:rsidRPr="004E2959">
        <w:rPr>
          <w:lang w:val="en-GB"/>
        </w:rPr>
        <w:t xml:space="preserve"> </w:t>
      </w:r>
      <w:r w:rsidR="009D59F5" w:rsidRPr="004E2959">
        <w:rPr>
          <w:lang w:val="en-GB"/>
        </w:rPr>
        <w:t xml:space="preserve">visibility and </w:t>
      </w:r>
      <w:r w:rsidR="00586F78" w:rsidRPr="004E2959">
        <w:rPr>
          <w:lang w:val="en-GB"/>
        </w:rPr>
        <w:t xml:space="preserve">strengthen </w:t>
      </w:r>
      <w:r w:rsidR="009D59F5" w:rsidRPr="004E2959">
        <w:rPr>
          <w:lang w:val="en-GB"/>
        </w:rPr>
        <w:t xml:space="preserve">political commitment to addressing conflict-related sexual violence. </w:t>
      </w:r>
      <w:r w:rsidR="00586F78" w:rsidRPr="004E2959">
        <w:rPr>
          <w:lang w:val="en-GB"/>
        </w:rPr>
        <w:t>D</w:t>
      </w:r>
      <w:r w:rsidR="009D59F5" w:rsidRPr="004E2959">
        <w:rPr>
          <w:lang w:val="en-GB"/>
        </w:rPr>
        <w:t xml:space="preserve">evelopment of </w:t>
      </w:r>
      <w:r w:rsidR="00EA6942">
        <w:rPr>
          <w:lang w:val="en-GB"/>
        </w:rPr>
        <w:t>a WHO</w:t>
      </w:r>
      <w:r w:rsidR="00EA6942" w:rsidRPr="004E2959">
        <w:rPr>
          <w:lang w:val="en-GB"/>
        </w:rPr>
        <w:t xml:space="preserve"> </w:t>
      </w:r>
      <w:r w:rsidR="009D59F5" w:rsidRPr="004E2959">
        <w:rPr>
          <w:lang w:val="en-GB"/>
        </w:rPr>
        <w:t xml:space="preserve">work plan </w:t>
      </w:r>
      <w:r w:rsidR="00EA6942">
        <w:rPr>
          <w:lang w:val="en-GB"/>
        </w:rPr>
        <w:t>on violence against women more broadly</w:t>
      </w:r>
      <w:r w:rsidR="00ED2E35">
        <w:rPr>
          <w:lang w:val="en-GB"/>
        </w:rPr>
        <w:t>,</w:t>
      </w:r>
      <w:r w:rsidR="00EA6942">
        <w:rPr>
          <w:lang w:val="en-GB"/>
        </w:rPr>
        <w:t xml:space="preserve"> includ</w:t>
      </w:r>
      <w:r w:rsidR="00ED2E35">
        <w:rPr>
          <w:lang w:val="en-GB"/>
        </w:rPr>
        <w:t>ing,</w:t>
      </w:r>
      <w:r w:rsidR="00EA6942">
        <w:rPr>
          <w:lang w:val="en-GB"/>
        </w:rPr>
        <w:t xml:space="preserve"> sexual violence in conflict </w:t>
      </w:r>
      <w:r w:rsidR="00586F78" w:rsidRPr="004E2959">
        <w:rPr>
          <w:lang w:val="en-GB"/>
        </w:rPr>
        <w:t xml:space="preserve">would include </w:t>
      </w:r>
      <w:r w:rsidR="009D59F5" w:rsidRPr="004E2959">
        <w:rPr>
          <w:lang w:val="en-GB"/>
        </w:rPr>
        <w:t xml:space="preserve">a </w:t>
      </w:r>
      <w:r w:rsidR="009D59F5" w:rsidRPr="004E2959">
        <w:rPr>
          <w:lang w:val="en-GB"/>
        </w:rPr>
        <w:lastRenderedPageBreak/>
        <w:t>WHO</w:t>
      </w:r>
      <w:r w:rsidR="00586F78" w:rsidRPr="004E2959">
        <w:rPr>
          <w:lang w:val="en-GB"/>
        </w:rPr>
        <w:t>-</w:t>
      </w:r>
      <w:r w:rsidR="009D59F5" w:rsidRPr="004E2959">
        <w:rPr>
          <w:lang w:val="en-GB"/>
        </w:rPr>
        <w:t>wide consultation process, aim</w:t>
      </w:r>
      <w:r w:rsidR="00586F78" w:rsidRPr="004E2959">
        <w:rPr>
          <w:lang w:val="en-GB"/>
        </w:rPr>
        <w:t>ed</w:t>
      </w:r>
      <w:r w:rsidR="009D59F5" w:rsidRPr="004E2959">
        <w:rPr>
          <w:lang w:val="en-GB"/>
        </w:rPr>
        <w:t xml:space="preserve"> at </w:t>
      </w:r>
      <w:r w:rsidR="00586F78" w:rsidRPr="004E2959">
        <w:rPr>
          <w:lang w:val="en-GB"/>
        </w:rPr>
        <w:t xml:space="preserve">building HQ, regional and country office capacity to support programme design, </w:t>
      </w:r>
      <w:r w:rsidR="009D59F5" w:rsidRPr="004E2959">
        <w:rPr>
          <w:lang w:val="en-GB"/>
        </w:rPr>
        <w:t>implement</w:t>
      </w:r>
      <w:r w:rsidR="00586F78" w:rsidRPr="004E2959">
        <w:rPr>
          <w:lang w:val="en-GB"/>
        </w:rPr>
        <w:t>ation and monitoring</w:t>
      </w:r>
      <w:r w:rsidR="009D59F5" w:rsidRPr="004E2959">
        <w:rPr>
          <w:lang w:val="en-GB"/>
        </w:rPr>
        <w:t>.</w:t>
      </w:r>
    </w:p>
    <w:p w:rsidR="00556A70" w:rsidRPr="004E2959" w:rsidRDefault="00556A70" w:rsidP="00ED2E35">
      <w:pPr>
        <w:rPr>
          <w:lang w:val="en-GB"/>
        </w:rPr>
      </w:pPr>
    </w:p>
    <w:p w:rsidR="008673B5" w:rsidRPr="004E2959" w:rsidRDefault="008673B5" w:rsidP="008673B5">
      <w:pPr>
        <w:rPr>
          <w:b/>
          <w:bCs/>
          <w:lang w:val="en-GB"/>
        </w:rPr>
      </w:pPr>
      <w:r w:rsidRPr="004E2959">
        <w:rPr>
          <w:b/>
          <w:bCs/>
          <w:lang w:val="en-GB"/>
        </w:rPr>
        <w:t>3. Discussion</w:t>
      </w:r>
    </w:p>
    <w:p w:rsidR="00A13C32" w:rsidRPr="004E2959" w:rsidRDefault="00E31150" w:rsidP="009C5F31">
      <w:pPr>
        <w:rPr>
          <w:lang w:val="en-GB"/>
        </w:rPr>
      </w:pPr>
      <w:r w:rsidRPr="004E2959">
        <w:rPr>
          <w:lang w:val="en-GB"/>
        </w:rPr>
        <w:t xml:space="preserve">The discussion focused </w:t>
      </w:r>
      <w:r w:rsidR="00586F78" w:rsidRPr="004E2959">
        <w:rPr>
          <w:lang w:val="en-GB"/>
        </w:rPr>
        <w:t xml:space="preserve">on identifying </w:t>
      </w:r>
      <w:r w:rsidRPr="004E2959">
        <w:rPr>
          <w:lang w:val="en-GB"/>
        </w:rPr>
        <w:t xml:space="preserve">priorities </w:t>
      </w:r>
      <w:r w:rsidR="00765166" w:rsidRPr="004E2959">
        <w:rPr>
          <w:lang w:val="en-GB"/>
        </w:rPr>
        <w:t xml:space="preserve">for </w:t>
      </w:r>
      <w:r w:rsidRPr="004E2959">
        <w:rPr>
          <w:lang w:val="en-GB"/>
        </w:rPr>
        <w:t>preventi</w:t>
      </w:r>
      <w:r w:rsidR="00CE36FE" w:rsidRPr="004E2959">
        <w:rPr>
          <w:lang w:val="en-GB"/>
        </w:rPr>
        <w:t xml:space="preserve">ng </w:t>
      </w:r>
      <w:r w:rsidRPr="004E2959">
        <w:rPr>
          <w:lang w:val="en-GB"/>
        </w:rPr>
        <w:t>and respon</w:t>
      </w:r>
      <w:r w:rsidR="00CE36FE" w:rsidRPr="004E2959">
        <w:rPr>
          <w:lang w:val="en-GB"/>
        </w:rPr>
        <w:t xml:space="preserve">ding </w:t>
      </w:r>
      <w:r w:rsidRPr="004E2959">
        <w:rPr>
          <w:lang w:val="en-GB"/>
        </w:rPr>
        <w:t>to conflict-related sexual violence</w:t>
      </w:r>
      <w:r w:rsidR="00765166" w:rsidRPr="004E2959">
        <w:rPr>
          <w:lang w:val="en-GB"/>
        </w:rPr>
        <w:t xml:space="preserve"> in general</w:t>
      </w:r>
      <w:r w:rsidR="00CE36FE" w:rsidRPr="004E2959">
        <w:rPr>
          <w:lang w:val="en-GB"/>
        </w:rPr>
        <w:t xml:space="preserve">, and </w:t>
      </w:r>
      <w:r w:rsidR="00765166" w:rsidRPr="004E2959">
        <w:rPr>
          <w:lang w:val="en-GB"/>
        </w:rPr>
        <w:t>WHO</w:t>
      </w:r>
      <w:r w:rsidR="00586F78" w:rsidRPr="004E2959">
        <w:rPr>
          <w:lang w:val="en-GB"/>
        </w:rPr>
        <w:t>’s</w:t>
      </w:r>
      <w:r w:rsidR="00765166" w:rsidRPr="004E2959">
        <w:rPr>
          <w:lang w:val="en-GB"/>
        </w:rPr>
        <w:t xml:space="preserve"> </w:t>
      </w:r>
      <w:r w:rsidR="00586F78" w:rsidRPr="004E2959">
        <w:rPr>
          <w:lang w:val="en-GB"/>
        </w:rPr>
        <w:t xml:space="preserve">specific role </w:t>
      </w:r>
      <w:r w:rsidR="00765166" w:rsidRPr="004E2959">
        <w:rPr>
          <w:lang w:val="en-GB"/>
        </w:rPr>
        <w:t>in this regard</w:t>
      </w:r>
      <w:r w:rsidR="00CE36FE" w:rsidRPr="004E2959">
        <w:rPr>
          <w:lang w:val="en-GB"/>
        </w:rPr>
        <w:t xml:space="preserve">, including the </w:t>
      </w:r>
      <w:r w:rsidRPr="004E2959">
        <w:rPr>
          <w:lang w:val="en-GB"/>
        </w:rPr>
        <w:t xml:space="preserve">main </w:t>
      </w:r>
      <w:r w:rsidR="00CE36FE" w:rsidRPr="004E2959">
        <w:rPr>
          <w:lang w:val="en-GB"/>
        </w:rPr>
        <w:t xml:space="preserve">outputs that </w:t>
      </w:r>
      <w:r w:rsidRPr="004E2959">
        <w:rPr>
          <w:lang w:val="en-GB"/>
        </w:rPr>
        <w:t xml:space="preserve">WHO </w:t>
      </w:r>
      <w:r w:rsidR="00CE36FE" w:rsidRPr="004E2959">
        <w:rPr>
          <w:lang w:val="en-GB"/>
        </w:rPr>
        <w:t xml:space="preserve">should aim for </w:t>
      </w:r>
      <w:r w:rsidRPr="004E2959">
        <w:rPr>
          <w:lang w:val="en-GB"/>
        </w:rPr>
        <w:t>over the next 3-5 years</w:t>
      </w:r>
      <w:r w:rsidR="00CE36FE" w:rsidRPr="004E2959">
        <w:rPr>
          <w:lang w:val="en-GB"/>
        </w:rPr>
        <w:t xml:space="preserve">, and </w:t>
      </w:r>
      <w:r w:rsidRPr="004E2959">
        <w:rPr>
          <w:lang w:val="en-GB"/>
        </w:rPr>
        <w:t>next steps for the development of a WHO wide action plan.</w:t>
      </w:r>
      <w:r w:rsidR="00765166" w:rsidRPr="004E2959">
        <w:rPr>
          <w:lang w:val="en-GB"/>
        </w:rPr>
        <w:t xml:space="preserve"> </w:t>
      </w:r>
    </w:p>
    <w:p w:rsidR="001E5217" w:rsidRPr="004E2959" w:rsidRDefault="002A44E9">
      <w:pPr>
        <w:rPr>
          <w:lang w:val="en-GB"/>
        </w:rPr>
      </w:pPr>
      <w:r w:rsidRPr="004E2959">
        <w:rPr>
          <w:lang w:val="en-GB"/>
        </w:rPr>
        <w:t>A number of</w:t>
      </w:r>
      <w:r w:rsidRPr="004E2959">
        <w:rPr>
          <w:b/>
          <w:bCs/>
          <w:lang w:val="en-GB"/>
        </w:rPr>
        <w:t xml:space="preserve"> </w:t>
      </w:r>
      <w:r w:rsidR="005E7FCD" w:rsidRPr="004E2959">
        <w:rPr>
          <w:b/>
          <w:bCs/>
          <w:lang w:val="en-GB"/>
        </w:rPr>
        <w:t>priorities for the field</w:t>
      </w:r>
      <w:r w:rsidR="00B35BF0" w:rsidRPr="004E2959">
        <w:rPr>
          <w:lang w:val="en-GB"/>
        </w:rPr>
        <w:t xml:space="preserve"> were highlighted</w:t>
      </w:r>
      <w:r w:rsidRPr="004E2959">
        <w:rPr>
          <w:lang w:val="en-GB"/>
        </w:rPr>
        <w:t xml:space="preserve"> in the discussion. </w:t>
      </w:r>
      <w:r w:rsidR="00E66CF7" w:rsidRPr="004E2959">
        <w:rPr>
          <w:lang w:val="en-GB"/>
        </w:rPr>
        <w:t>P</w:t>
      </w:r>
      <w:r w:rsidRPr="004E2959">
        <w:rPr>
          <w:lang w:val="en-GB"/>
        </w:rPr>
        <w:t xml:space="preserve">articipants emphasized the </w:t>
      </w:r>
      <w:r w:rsidR="00B35BF0" w:rsidRPr="004E2959">
        <w:rPr>
          <w:lang w:val="en-GB"/>
        </w:rPr>
        <w:t xml:space="preserve">need to move from data collection and </w:t>
      </w:r>
      <w:r w:rsidR="00E66CF7" w:rsidRPr="004E2959">
        <w:rPr>
          <w:lang w:val="en-GB"/>
        </w:rPr>
        <w:t xml:space="preserve">guideline </w:t>
      </w:r>
      <w:r w:rsidR="00B35BF0" w:rsidRPr="004E2959">
        <w:rPr>
          <w:lang w:val="en-GB"/>
        </w:rPr>
        <w:t>development</w:t>
      </w:r>
      <w:r w:rsidR="00E66CF7" w:rsidRPr="004E2959">
        <w:rPr>
          <w:lang w:val="en-GB"/>
        </w:rPr>
        <w:t>,</w:t>
      </w:r>
      <w:r w:rsidR="00B35BF0" w:rsidRPr="004E2959">
        <w:rPr>
          <w:lang w:val="en-GB"/>
        </w:rPr>
        <w:t xml:space="preserve"> to country-level implementation.</w:t>
      </w:r>
      <w:r w:rsidR="00EA6942">
        <w:rPr>
          <w:lang w:val="en-GB"/>
        </w:rPr>
        <w:t xml:space="preserve">  There was some discussion on whether we need to wait for data or should act on what we already know.</w:t>
      </w:r>
      <w:r w:rsidR="00B35BF0" w:rsidRPr="004E2959">
        <w:rPr>
          <w:lang w:val="en-GB"/>
        </w:rPr>
        <w:t xml:space="preserve"> These efforts should be aligned </w:t>
      </w:r>
      <w:r w:rsidR="00E66CF7" w:rsidRPr="004E2959">
        <w:rPr>
          <w:lang w:val="en-GB"/>
        </w:rPr>
        <w:t xml:space="preserve">with </w:t>
      </w:r>
      <w:r w:rsidR="00B35BF0" w:rsidRPr="004E2959">
        <w:rPr>
          <w:lang w:val="en-GB"/>
        </w:rPr>
        <w:t>existing cooperation mechanisms, such as the WHO country cooperation strategies, humanitarian mechanisms, sector-wide approaches or other partnership frameworks.</w:t>
      </w:r>
      <w:r w:rsidR="009704C3" w:rsidRPr="004E2959">
        <w:rPr>
          <w:lang w:val="en-GB"/>
        </w:rPr>
        <w:t xml:space="preserve"> </w:t>
      </w:r>
      <w:r w:rsidR="00E66CF7" w:rsidRPr="004E2959">
        <w:rPr>
          <w:lang w:val="en-GB"/>
        </w:rPr>
        <w:t xml:space="preserve">Building </w:t>
      </w:r>
      <w:r w:rsidR="009704C3" w:rsidRPr="004E2959">
        <w:rPr>
          <w:lang w:val="en-GB"/>
        </w:rPr>
        <w:t>WHO capacity at country level was perceived as a</w:t>
      </w:r>
      <w:r w:rsidR="00585DEF" w:rsidRPr="004E2959">
        <w:rPr>
          <w:lang w:val="en-GB"/>
        </w:rPr>
        <w:t xml:space="preserve"> major</w:t>
      </w:r>
      <w:r w:rsidR="009704C3" w:rsidRPr="004E2959">
        <w:rPr>
          <w:lang w:val="en-GB"/>
        </w:rPr>
        <w:t xml:space="preserve"> challenge</w:t>
      </w:r>
      <w:r w:rsidR="00585DEF" w:rsidRPr="004E2959">
        <w:rPr>
          <w:lang w:val="en-GB"/>
        </w:rPr>
        <w:t xml:space="preserve"> in this regard. WHO</w:t>
      </w:r>
      <w:r w:rsidR="002F0300" w:rsidRPr="004E2959">
        <w:rPr>
          <w:lang w:val="en-GB"/>
        </w:rPr>
        <w:t xml:space="preserve"> was </w:t>
      </w:r>
      <w:r w:rsidR="00E66CF7" w:rsidRPr="004E2959">
        <w:rPr>
          <w:lang w:val="en-GB"/>
        </w:rPr>
        <w:t xml:space="preserve">identified as having </w:t>
      </w:r>
      <w:r w:rsidR="002F0300" w:rsidRPr="004E2959">
        <w:rPr>
          <w:lang w:val="en-GB"/>
        </w:rPr>
        <w:t xml:space="preserve">a major role </w:t>
      </w:r>
      <w:r w:rsidR="00E66CF7" w:rsidRPr="004E2959">
        <w:rPr>
          <w:lang w:val="en-GB"/>
        </w:rPr>
        <w:t xml:space="preserve">to play </w:t>
      </w:r>
      <w:r w:rsidR="002F0300" w:rsidRPr="004E2959">
        <w:rPr>
          <w:lang w:val="en-GB"/>
        </w:rPr>
        <w:t xml:space="preserve">in </w:t>
      </w:r>
      <w:r w:rsidR="00585DEF" w:rsidRPr="004E2959">
        <w:rPr>
          <w:lang w:val="en-GB"/>
        </w:rPr>
        <w:t>stimulati</w:t>
      </w:r>
      <w:r w:rsidR="00E66CF7" w:rsidRPr="004E2959">
        <w:rPr>
          <w:lang w:val="en-GB"/>
        </w:rPr>
        <w:t xml:space="preserve">ng </w:t>
      </w:r>
      <w:r w:rsidR="001E5217" w:rsidRPr="004E2959">
        <w:rPr>
          <w:lang w:val="en-GB"/>
        </w:rPr>
        <w:t>high</w:t>
      </w:r>
      <w:r w:rsidR="00E66CF7" w:rsidRPr="004E2959">
        <w:rPr>
          <w:lang w:val="en-GB"/>
        </w:rPr>
        <w:t>-</w:t>
      </w:r>
      <w:r w:rsidR="001E5217" w:rsidRPr="004E2959">
        <w:rPr>
          <w:lang w:val="en-GB"/>
        </w:rPr>
        <w:t xml:space="preserve">level policy dialogues and </w:t>
      </w:r>
      <w:r w:rsidR="002F0300" w:rsidRPr="004E2959">
        <w:rPr>
          <w:lang w:val="en-GB"/>
        </w:rPr>
        <w:t>support</w:t>
      </w:r>
      <w:r w:rsidR="00E66CF7" w:rsidRPr="004E2959">
        <w:rPr>
          <w:lang w:val="en-GB"/>
        </w:rPr>
        <w:t>ing</w:t>
      </w:r>
      <w:r w:rsidR="002F0300" w:rsidRPr="004E2959">
        <w:rPr>
          <w:lang w:val="en-GB"/>
        </w:rPr>
        <w:t xml:space="preserve"> the</w:t>
      </w:r>
      <w:r w:rsidR="001E5217" w:rsidRPr="004E2959">
        <w:rPr>
          <w:lang w:val="en-GB"/>
        </w:rPr>
        <w:t xml:space="preserve"> dissemination of successful country programmes and best </w:t>
      </w:r>
      <w:proofErr w:type="gramStart"/>
      <w:r w:rsidR="001E5217" w:rsidRPr="004E2959">
        <w:rPr>
          <w:lang w:val="en-GB"/>
        </w:rPr>
        <w:t>practices.</w:t>
      </w:r>
      <w:proofErr w:type="gramEnd"/>
      <w:r w:rsidR="00BA52E3">
        <w:rPr>
          <w:lang w:val="en-GB"/>
        </w:rPr>
        <w:t xml:space="preserve">  There was also a suggestion to use country partnership frameworks to advocate and engage countries in taking on board the issue of sexual violence.  PEPFAR</w:t>
      </w:r>
      <w:r w:rsidR="00F279EF">
        <w:rPr>
          <w:lang w:val="en-GB"/>
        </w:rPr>
        <w:t>,</w:t>
      </w:r>
      <w:r w:rsidR="00BA52E3">
        <w:rPr>
          <w:lang w:val="en-GB"/>
        </w:rPr>
        <w:t xml:space="preserve"> for example, uses their partnership framework to engage countries in such a dialogue.</w:t>
      </w:r>
    </w:p>
    <w:p w:rsidR="001E5217" w:rsidRPr="004E2959" w:rsidRDefault="001E5217" w:rsidP="00D17A13">
      <w:pPr>
        <w:rPr>
          <w:lang w:val="en-GB"/>
        </w:rPr>
      </w:pPr>
      <w:r w:rsidRPr="004E2959">
        <w:rPr>
          <w:lang w:val="en-GB"/>
        </w:rPr>
        <w:t xml:space="preserve">Multi-sectoral coordination was </w:t>
      </w:r>
      <w:r w:rsidR="00E66CF7" w:rsidRPr="004E2959">
        <w:rPr>
          <w:lang w:val="en-GB"/>
        </w:rPr>
        <w:t xml:space="preserve">identified </w:t>
      </w:r>
      <w:r w:rsidRPr="004E2959">
        <w:rPr>
          <w:lang w:val="en-GB"/>
        </w:rPr>
        <w:t xml:space="preserve">as </w:t>
      </w:r>
      <w:r w:rsidR="003371C7" w:rsidRPr="004E2959">
        <w:rPr>
          <w:lang w:val="en-GB"/>
        </w:rPr>
        <w:t xml:space="preserve">another </w:t>
      </w:r>
      <w:r w:rsidR="00E66CF7" w:rsidRPr="004E2959">
        <w:rPr>
          <w:lang w:val="en-GB"/>
        </w:rPr>
        <w:t>priority area</w:t>
      </w:r>
      <w:r w:rsidRPr="004E2959">
        <w:rPr>
          <w:lang w:val="en-GB"/>
        </w:rPr>
        <w:t xml:space="preserve">. </w:t>
      </w:r>
      <w:r w:rsidR="003371C7" w:rsidRPr="004E2959">
        <w:rPr>
          <w:lang w:val="en-GB"/>
        </w:rPr>
        <w:t xml:space="preserve">As violence </w:t>
      </w:r>
      <w:r w:rsidRPr="004E2959">
        <w:rPr>
          <w:lang w:val="en-GB"/>
        </w:rPr>
        <w:t>does not fall into one of the traditional</w:t>
      </w:r>
      <w:r w:rsidR="003371C7" w:rsidRPr="004E2959">
        <w:rPr>
          <w:lang w:val="en-GB"/>
        </w:rPr>
        <w:t xml:space="preserve"> development or humanitarian</w:t>
      </w:r>
      <w:r w:rsidR="00BB1E4C" w:rsidRPr="004E2959">
        <w:rPr>
          <w:lang w:val="en-GB"/>
        </w:rPr>
        <w:t xml:space="preserve"> sectors, new ways of collaboration and </w:t>
      </w:r>
      <w:r w:rsidRPr="004E2959">
        <w:rPr>
          <w:lang w:val="en-GB"/>
        </w:rPr>
        <w:t>multi-sectoral guidance</w:t>
      </w:r>
      <w:r w:rsidR="00BB1E4C" w:rsidRPr="004E2959">
        <w:rPr>
          <w:lang w:val="en-GB"/>
        </w:rPr>
        <w:t xml:space="preserve"> are needed</w:t>
      </w:r>
      <w:r w:rsidRPr="004E2959">
        <w:rPr>
          <w:lang w:val="en-GB"/>
        </w:rPr>
        <w:t>.</w:t>
      </w:r>
      <w:r w:rsidR="00E66CF7" w:rsidRPr="004E2959">
        <w:rPr>
          <w:lang w:val="en-GB"/>
        </w:rPr>
        <w:t xml:space="preserve"> </w:t>
      </w:r>
      <w:r w:rsidR="002B4F01" w:rsidRPr="004E2959">
        <w:rPr>
          <w:lang w:val="en-GB"/>
        </w:rPr>
        <w:t>Any response at country level should focus on sustainable</w:t>
      </w:r>
      <w:r w:rsidR="00E66CF7" w:rsidRPr="004E2959">
        <w:rPr>
          <w:lang w:val="en-GB"/>
        </w:rPr>
        <w:t>, multi-sectoral,</w:t>
      </w:r>
      <w:r w:rsidR="002B4F01" w:rsidRPr="004E2959">
        <w:rPr>
          <w:lang w:val="en-GB"/>
        </w:rPr>
        <w:t xml:space="preserve"> systems-strengthening approaches. </w:t>
      </w:r>
      <w:r w:rsidR="00E66CF7" w:rsidRPr="004E2959">
        <w:rPr>
          <w:lang w:val="en-GB"/>
        </w:rPr>
        <w:t>C</w:t>
      </w:r>
      <w:r w:rsidR="002B4F01" w:rsidRPr="004E2959">
        <w:rPr>
          <w:lang w:val="en-GB"/>
        </w:rPr>
        <w:t>urrent response</w:t>
      </w:r>
      <w:r w:rsidR="00E66CF7" w:rsidRPr="004E2959">
        <w:rPr>
          <w:lang w:val="en-GB"/>
        </w:rPr>
        <w:t>s</w:t>
      </w:r>
      <w:r w:rsidR="002B4F01" w:rsidRPr="004E2959">
        <w:rPr>
          <w:lang w:val="en-GB"/>
        </w:rPr>
        <w:t xml:space="preserve"> tend to be ad hoc and often </w:t>
      </w:r>
      <w:r w:rsidR="00E66CF7" w:rsidRPr="004E2959">
        <w:rPr>
          <w:lang w:val="en-GB"/>
        </w:rPr>
        <w:t xml:space="preserve">are </w:t>
      </w:r>
      <w:r w:rsidR="002B4F01" w:rsidRPr="004E2959">
        <w:rPr>
          <w:lang w:val="en-GB"/>
        </w:rPr>
        <w:t xml:space="preserve">not sustained. </w:t>
      </w:r>
      <w:r w:rsidR="003371C7" w:rsidRPr="004E2959">
        <w:rPr>
          <w:lang w:val="en-GB"/>
        </w:rPr>
        <w:t xml:space="preserve">The need for </w:t>
      </w:r>
      <w:r w:rsidR="00AE052F" w:rsidRPr="004E2959">
        <w:rPr>
          <w:lang w:val="en-GB"/>
        </w:rPr>
        <w:t>increased</w:t>
      </w:r>
      <w:r w:rsidR="003371C7" w:rsidRPr="004E2959">
        <w:rPr>
          <w:lang w:val="en-GB"/>
        </w:rPr>
        <w:t xml:space="preserve"> funding</w:t>
      </w:r>
      <w:r w:rsidR="00AE052F" w:rsidRPr="004E2959">
        <w:rPr>
          <w:lang w:val="en-GB"/>
        </w:rPr>
        <w:t>, particularly for sustainable longer-term responses</w:t>
      </w:r>
      <w:r w:rsidR="00E66CF7" w:rsidRPr="004E2959">
        <w:rPr>
          <w:lang w:val="en-GB"/>
        </w:rPr>
        <w:t>,</w:t>
      </w:r>
      <w:r w:rsidR="00AE052F" w:rsidRPr="004E2959">
        <w:rPr>
          <w:lang w:val="en-GB"/>
        </w:rPr>
        <w:t xml:space="preserve"> was </w:t>
      </w:r>
      <w:r w:rsidR="002B4F01" w:rsidRPr="004E2959">
        <w:rPr>
          <w:lang w:val="en-GB"/>
        </w:rPr>
        <w:t>highlighted</w:t>
      </w:r>
      <w:r w:rsidR="00AE052F" w:rsidRPr="004E2959">
        <w:rPr>
          <w:lang w:val="en-GB"/>
        </w:rPr>
        <w:t>.</w:t>
      </w:r>
      <w:r w:rsidR="00BA52E3">
        <w:rPr>
          <w:lang w:val="en-GB"/>
        </w:rPr>
        <w:t xml:space="preserve"> There is also a need to build evidence on systems approach and on complex interventions to respond to this </w:t>
      </w:r>
      <w:r w:rsidR="00D17A13">
        <w:rPr>
          <w:lang w:val="en-GB"/>
        </w:rPr>
        <w:t xml:space="preserve">problem. </w:t>
      </w:r>
      <w:r w:rsidR="00BA52E3">
        <w:rPr>
          <w:lang w:val="en-GB"/>
        </w:rPr>
        <w:t>Moreover, there is a need to have country-specific responses tai</w:t>
      </w:r>
      <w:r w:rsidR="00D17A13">
        <w:rPr>
          <w:lang w:val="en-GB"/>
        </w:rPr>
        <w:t xml:space="preserve">lored to each country’s needs. </w:t>
      </w:r>
      <w:r w:rsidR="003E4883">
        <w:rPr>
          <w:lang w:val="en-GB"/>
        </w:rPr>
        <w:t>It was pointed out that it</w:t>
      </w:r>
      <w:r w:rsidR="00F279EF">
        <w:rPr>
          <w:lang w:val="en-GB"/>
        </w:rPr>
        <w:t xml:space="preserve"> </w:t>
      </w:r>
      <w:r w:rsidR="00BA52E3">
        <w:rPr>
          <w:lang w:val="en-GB"/>
        </w:rPr>
        <w:t xml:space="preserve">may be challenging to only focus on </w:t>
      </w:r>
      <w:r w:rsidR="003E4883">
        <w:rPr>
          <w:lang w:val="en-GB"/>
        </w:rPr>
        <w:t xml:space="preserve">conflict-related </w:t>
      </w:r>
      <w:r w:rsidR="00BA52E3">
        <w:rPr>
          <w:lang w:val="en-GB"/>
        </w:rPr>
        <w:t xml:space="preserve">sexual violence </w:t>
      </w:r>
      <w:r w:rsidR="00F279EF">
        <w:rPr>
          <w:lang w:val="en-GB"/>
        </w:rPr>
        <w:t>since</w:t>
      </w:r>
      <w:r w:rsidR="00BA52E3">
        <w:rPr>
          <w:lang w:val="en-GB"/>
        </w:rPr>
        <w:t xml:space="preserve"> there is a lot of sexual violence that happens on a day to day basis and </w:t>
      </w:r>
      <w:r w:rsidR="00D17A13">
        <w:rPr>
          <w:lang w:val="en-GB"/>
        </w:rPr>
        <w:t>should</w:t>
      </w:r>
      <w:r w:rsidR="00BA52E3">
        <w:rPr>
          <w:lang w:val="en-GB"/>
        </w:rPr>
        <w:t xml:space="preserve"> </w:t>
      </w:r>
      <w:r w:rsidR="003E4883">
        <w:rPr>
          <w:lang w:val="en-GB"/>
        </w:rPr>
        <w:t>be taken</w:t>
      </w:r>
      <w:r w:rsidR="00BA52E3">
        <w:rPr>
          <w:lang w:val="en-GB"/>
        </w:rPr>
        <w:t xml:space="preserve"> into account as </w:t>
      </w:r>
      <w:r w:rsidR="00D17A13">
        <w:rPr>
          <w:lang w:val="en-GB"/>
        </w:rPr>
        <w:t>an important</w:t>
      </w:r>
      <w:r w:rsidR="00BA52E3">
        <w:rPr>
          <w:lang w:val="en-GB"/>
        </w:rPr>
        <w:t xml:space="preserve"> driver of conflict-related sexual violence.  Using Kenya as an example where there has been traction on response to sexual violence, success was attributed to strong emphasis on policy, resea</w:t>
      </w:r>
      <w:r w:rsidR="00D17A13">
        <w:rPr>
          <w:lang w:val="en-GB"/>
        </w:rPr>
        <w:t>rch, advocacy and programming. C</w:t>
      </w:r>
      <w:r w:rsidR="00BA52E3">
        <w:rPr>
          <w:lang w:val="en-GB"/>
        </w:rPr>
        <w:t>ivil society</w:t>
      </w:r>
      <w:r w:rsidR="00D17A13">
        <w:rPr>
          <w:lang w:val="en-GB"/>
        </w:rPr>
        <w:t>,</w:t>
      </w:r>
      <w:r w:rsidR="00BA52E3">
        <w:rPr>
          <w:lang w:val="en-GB"/>
        </w:rPr>
        <w:t xml:space="preserve"> for example, can play an important role in moving things forward with the Ministry</w:t>
      </w:r>
      <w:r w:rsidR="00EB53E4">
        <w:rPr>
          <w:lang w:val="en-GB"/>
        </w:rPr>
        <w:t xml:space="preserve"> of Health</w:t>
      </w:r>
      <w:r w:rsidR="00DE3748">
        <w:rPr>
          <w:lang w:val="en-GB"/>
        </w:rPr>
        <w:t>.</w:t>
      </w:r>
    </w:p>
    <w:p w:rsidR="009D06B8" w:rsidRPr="004E2959" w:rsidRDefault="00DE3748" w:rsidP="00ED2E35">
      <w:pPr>
        <w:rPr>
          <w:lang w:val="en-GB"/>
        </w:rPr>
      </w:pPr>
      <w:r w:rsidRPr="004E2959">
        <w:rPr>
          <w:lang w:val="en-GB"/>
        </w:rPr>
        <w:t>It was suggested to better define and specify the focus of WHO work on conflict-related sexual violence, and to focus on high-risk groups affected by sexual violence independently from their direct involvement in a conflict-situation.</w:t>
      </w:r>
      <w:r w:rsidR="00E66CF7" w:rsidRPr="004E2959">
        <w:rPr>
          <w:lang w:val="en-GB"/>
        </w:rPr>
        <w:t xml:space="preserve"> </w:t>
      </w:r>
      <w:r w:rsidR="002B4F01" w:rsidRPr="004E2959">
        <w:rPr>
          <w:lang w:val="en-GB"/>
        </w:rPr>
        <w:t>It was further suggested to link response</w:t>
      </w:r>
      <w:r w:rsidR="00E66CF7" w:rsidRPr="004E2959">
        <w:rPr>
          <w:lang w:val="en-GB"/>
        </w:rPr>
        <w:t>s</w:t>
      </w:r>
      <w:r w:rsidR="002B4F01" w:rsidRPr="004E2959">
        <w:rPr>
          <w:lang w:val="en-GB"/>
        </w:rPr>
        <w:t xml:space="preserve"> to other agendas, such as </w:t>
      </w:r>
      <w:proofErr w:type="gramStart"/>
      <w:r w:rsidR="002B4F01" w:rsidRPr="004E2959">
        <w:rPr>
          <w:lang w:val="en-GB"/>
        </w:rPr>
        <w:t>WHO</w:t>
      </w:r>
      <w:r w:rsidR="00E66CF7" w:rsidRPr="004E2959">
        <w:rPr>
          <w:lang w:val="en-GB"/>
        </w:rPr>
        <w:t>’</w:t>
      </w:r>
      <w:r w:rsidR="002B4F01" w:rsidRPr="004E2959">
        <w:rPr>
          <w:lang w:val="en-GB"/>
        </w:rPr>
        <w:t>s</w:t>
      </w:r>
      <w:proofErr w:type="gramEnd"/>
      <w:r w:rsidR="002B4F01" w:rsidRPr="004E2959">
        <w:rPr>
          <w:lang w:val="en-GB"/>
        </w:rPr>
        <w:t xml:space="preserve"> work on disability.</w:t>
      </w:r>
      <w:r w:rsidR="009D06B8" w:rsidRPr="004E2959">
        <w:rPr>
          <w:lang w:val="en-GB"/>
        </w:rPr>
        <w:t xml:space="preserve"> </w:t>
      </w:r>
      <w:r w:rsidR="00E66CF7" w:rsidRPr="004E2959">
        <w:rPr>
          <w:lang w:val="en-GB"/>
        </w:rPr>
        <w:t>It was noted that i</w:t>
      </w:r>
      <w:r w:rsidR="002F0300" w:rsidRPr="004E2959">
        <w:rPr>
          <w:lang w:val="en-GB"/>
        </w:rPr>
        <w:t xml:space="preserve">ncreased </w:t>
      </w:r>
      <w:r w:rsidR="00E66CF7" w:rsidRPr="004E2959">
        <w:rPr>
          <w:lang w:val="en-GB"/>
        </w:rPr>
        <w:t>attention should be paid</w:t>
      </w:r>
      <w:r w:rsidR="002F0300" w:rsidRPr="004E2959">
        <w:rPr>
          <w:lang w:val="en-GB"/>
        </w:rPr>
        <w:t xml:space="preserve"> </w:t>
      </w:r>
      <w:r w:rsidR="00E66CF7" w:rsidRPr="004E2959">
        <w:rPr>
          <w:lang w:val="en-GB"/>
        </w:rPr>
        <w:t xml:space="preserve">to </w:t>
      </w:r>
      <w:r w:rsidR="002F0300" w:rsidRPr="004E2959">
        <w:rPr>
          <w:lang w:val="en-GB"/>
        </w:rPr>
        <w:t>men, both as victims and perpetrators of sexual violence</w:t>
      </w:r>
      <w:r w:rsidR="00E66CF7" w:rsidRPr="004E2959">
        <w:rPr>
          <w:lang w:val="en-GB"/>
        </w:rPr>
        <w:t xml:space="preserve">, and to </w:t>
      </w:r>
      <w:r w:rsidR="00596A98" w:rsidRPr="004E2959">
        <w:rPr>
          <w:lang w:val="en-GB"/>
        </w:rPr>
        <w:t>children</w:t>
      </w:r>
      <w:r>
        <w:rPr>
          <w:lang w:val="en-GB"/>
        </w:rPr>
        <w:t>,</w:t>
      </w:r>
      <w:r w:rsidR="00596A98" w:rsidRPr="004E2959">
        <w:rPr>
          <w:lang w:val="en-GB"/>
        </w:rPr>
        <w:t xml:space="preserve"> and </w:t>
      </w:r>
      <w:r>
        <w:rPr>
          <w:lang w:val="en-GB"/>
        </w:rPr>
        <w:t xml:space="preserve">to </w:t>
      </w:r>
      <w:r w:rsidR="00E66CF7" w:rsidRPr="004E2959">
        <w:rPr>
          <w:lang w:val="en-GB"/>
        </w:rPr>
        <w:t xml:space="preserve">other </w:t>
      </w:r>
      <w:r w:rsidR="00596A98" w:rsidRPr="004E2959">
        <w:rPr>
          <w:lang w:val="en-GB"/>
        </w:rPr>
        <w:t>interrelated forms of violence.</w:t>
      </w:r>
      <w:r>
        <w:rPr>
          <w:lang w:val="en-GB"/>
        </w:rPr>
        <w:t xml:space="preserve"> </w:t>
      </w:r>
      <w:r w:rsidR="00BA52E3">
        <w:rPr>
          <w:lang w:val="en-GB"/>
        </w:rPr>
        <w:t xml:space="preserve">There was also a suggestion to use the framework of the women, peace and security resolution (1325) as a framework for multi-sectoral responses.  </w:t>
      </w:r>
    </w:p>
    <w:p w:rsidR="00754C3B" w:rsidRPr="004E2959" w:rsidRDefault="00E66CF7" w:rsidP="00001580">
      <w:pPr>
        <w:rPr>
          <w:lang w:val="en-GB"/>
        </w:rPr>
      </w:pPr>
      <w:r w:rsidRPr="004E2959">
        <w:rPr>
          <w:lang w:val="en-GB"/>
        </w:rPr>
        <w:t xml:space="preserve">Several </w:t>
      </w:r>
      <w:r w:rsidR="002B4F01" w:rsidRPr="004E2959">
        <w:rPr>
          <w:lang w:val="en-GB"/>
        </w:rPr>
        <w:t>suggestions were made regard</w:t>
      </w:r>
      <w:r w:rsidRPr="004E2959">
        <w:rPr>
          <w:lang w:val="en-GB"/>
        </w:rPr>
        <w:t>ing</w:t>
      </w:r>
      <w:r w:rsidR="002B4F01" w:rsidRPr="004E2959">
        <w:rPr>
          <w:lang w:val="en-GB"/>
        </w:rPr>
        <w:t xml:space="preserve"> further development and implementation of the </w:t>
      </w:r>
      <w:r w:rsidR="002B4F01" w:rsidRPr="004E2959">
        <w:rPr>
          <w:b/>
          <w:bCs/>
          <w:lang w:val="en-GB"/>
        </w:rPr>
        <w:t>WHO work plan</w:t>
      </w:r>
      <w:r w:rsidR="002B4F01" w:rsidRPr="004E2959">
        <w:rPr>
          <w:lang w:val="en-GB"/>
        </w:rPr>
        <w:t xml:space="preserve">. </w:t>
      </w:r>
      <w:r w:rsidR="002F50A5" w:rsidRPr="004E2959">
        <w:rPr>
          <w:lang w:val="en-GB"/>
        </w:rPr>
        <w:t xml:space="preserve">Participants </w:t>
      </w:r>
      <w:r w:rsidR="00754C3B" w:rsidRPr="004E2959">
        <w:rPr>
          <w:lang w:val="en-GB"/>
        </w:rPr>
        <w:t xml:space="preserve">were </w:t>
      </w:r>
      <w:r w:rsidR="00FA0893" w:rsidRPr="004E2959">
        <w:rPr>
          <w:lang w:val="en-GB"/>
        </w:rPr>
        <w:t xml:space="preserve">in favour of </w:t>
      </w:r>
      <w:proofErr w:type="gramStart"/>
      <w:r w:rsidRPr="004E2959">
        <w:rPr>
          <w:lang w:val="en-GB"/>
        </w:rPr>
        <w:t>WHO</w:t>
      </w:r>
      <w:proofErr w:type="gramEnd"/>
      <w:r w:rsidRPr="004E2959">
        <w:rPr>
          <w:lang w:val="en-GB"/>
        </w:rPr>
        <w:t xml:space="preserve"> having a </w:t>
      </w:r>
      <w:r w:rsidR="00754C3B" w:rsidRPr="004E2959">
        <w:rPr>
          <w:lang w:val="en-GB"/>
        </w:rPr>
        <w:t xml:space="preserve">more prominent </w:t>
      </w:r>
      <w:r w:rsidR="00FA0893" w:rsidRPr="004E2959">
        <w:rPr>
          <w:lang w:val="en-GB"/>
        </w:rPr>
        <w:t xml:space="preserve">role </w:t>
      </w:r>
      <w:r w:rsidRPr="004E2959">
        <w:rPr>
          <w:lang w:val="en-GB"/>
        </w:rPr>
        <w:t xml:space="preserve">in </w:t>
      </w:r>
      <w:r w:rsidR="009D06B8" w:rsidRPr="004E2959">
        <w:rPr>
          <w:lang w:val="en-GB"/>
        </w:rPr>
        <w:t>addressing conflict-</w:t>
      </w:r>
      <w:r w:rsidR="009D06B8" w:rsidRPr="004E2959">
        <w:rPr>
          <w:lang w:val="en-GB"/>
        </w:rPr>
        <w:lastRenderedPageBreak/>
        <w:t>related sexual violence</w:t>
      </w:r>
      <w:r w:rsidRPr="004E2959">
        <w:rPr>
          <w:lang w:val="en-GB"/>
        </w:rPr>
        <w:t xml:space="preserve">, and noted that </w:t>
      </w:r>
      <w:r w:rsidR="009D06B8" w:rsidRPr="004E2959">
        <w:rPr>
          <w:lang w:val="en-GB"/>
        </w:rPr>
        <w:t xml:space="preserve">WHO was </w:t>
      </w:r>
      <w:r w:rsidRPr="004E2959">
        <w:rPr>
          <w:lang w:val="en-GB"/>
        </w:rPr>
        <w:t xml:space="preserve">seen </w:t>
      </w:r>
      <w:r w:rsidR="009D06B8" w:rsidRPr="004E2959">
        <w:rPr>
          <w:lang w:val="en-GB"/>
        </w:rPr>
        <w:t>as</w:t>
      </w:r>
      <w:r w:rsidR="002F50A5" w:rsidRPr="004E2959">
        <w:rPr>
          <w:lang w:val="en-GB"/>
        </w:rPr>
        <w:t xml:space="preserve"> </w:t>
      </w:r>
      <w:r w:rsidRPr="004E2959">
        <w:rPr>
          <w:lang w:val="en-GB"/>
        </w:rPr>
        <w:t xml:space="preserve">an </w:t>
      </w:r>
      <w:r w:rsidR="002F50A5" w:rsidRPr="004E2959">
        <w:rPr>
          <w:lang w:val="en-GB"/>
        </w:rPr>
        <w:t>important</w:t>
      </w:r>
      <w:r w:rsidR="009D06B8" w:rsidRPr="004E2959">
        <w:rPr>
          <w:lang w:val="en-GB"/>
        </w:rPr>
        <w:t xml:space="preserve"> moral authority</w:t>
      </w:r>
      <w:r w:rsidR="00BA52E3">
        <w:rPr>
          <w:lang w:val="en-GB"/>
        </w:rPr>
        <w:t xml:space="preserve"> </w:t>
      </w:r>
      <w:r w:rsidRPr="004E2959">
        <w:rPr>
          <w:lang w:val="en-GB"/>
        </w:rPr>
        <w:t xml:space="preserve">able to put </w:t>
      </w:r>
      <w:r w:rsidR="009D06B8" w:rsidRPr="004E2959">
        <w:rPr>
          <w:lang w:val="en-GB"/>
        </w:rPr>
        <w:t xml:space="preserve">the issue on </w:t>
      </w:r>
      <w:r w:rsidRPr="004E2959">
        <w:rPr>
          <w:lang w:val="en-GB"/>
        </w:rPr>
        <w:t xml:space="preserve">global and national </w:t>
      </w:r>
      <w:r w:rsidR="009D06B8" w:rsidRPr="004E2959">
        <w:rPr>
          <w:lang w:val="en-GB"/>
        </w:rPr>
        <w:t>agenda</w:t>
      </w:r>
      <w:r w:rsidRPr="004E2959">
        <w:rPr>
          <w:lang w:val="en-GB"/>
        </w:rPr>
        <w:t>s</w:t>
      </w:r>
      <w:r w:rsidR="0019145D" w:rsidRPr="004E2959">
        <w:rPr>
          <w:lang w:val="en-GB"/>
        </w:rPr>
        <w:t>,</w:t>
      </w:r>
      <w:r w:rsidR="002F50A5" w:rsidRPr="004E2959">
        <w:rPr>
          <w:lang w:val="en-GB"/>
        </w:rPr>
        <w:t xml:space="preserve"> </w:t>
      </w:r>
      <w:r w:rsidR="00001580">
        <w:rPr>
          <w:lang w:val="en-GB"/>
        </w:rPr>
        <w:t xml:space="preserve">as well as having a normative role. </w:t>
      </w:r>
    </w:p>
    <w:p w:rsidR="009D06B8" w:rsidRPr="004E2959" w:rsidRDefault="00754C3B" w:rsidP="004C1138">
      <w:pPr>
        <w:rPr>
          <w:lang w:val="en-GB"/>
        </w:rPr>
      </w:pPr>
      <w:r w:rsidRPr="004E2959">
        <w:rPr>
          <w:lang w:val="en-GB"/>
        </w:rPr>
        <w:t>It</w:t>
      </w:r>
      <w:r w:rsidR="009D06B8" w:rsidRPr="004E2959">
        <w:rPr>
          <w:lang w:val="en-GB"/>
        </w:rPr>
        <w:t xml:space="preserve"> was recommended that WHO </w:t>
      </w:r>
      <w:r w:rsidR="002F50A5" w:rsidRPr="004E2959">
        <w:rPr>
          <w:lang w:val="en-GB"/>
        </w:rPr>
        <w:t>focus</w:t>
      </w:r>
      <w:r w:rsidR="009D06B8" w:rsidRPr="004E2959">
        <w:rPr>
          <w:lang w:val="en-GB"/>
        </w:rPr>
        <w:t xml:space="preserve"> on “low-hanging-fruits”, </w:t>
      </w:r>
      <w:r w:rsidR="0019145D" w:rsidRPr="004E2959">
        <w:rPr>
          <w:lang w:val="en-GB"/>
        </w:rPr>
        <w:t xml:space="preserve">by identifying and supporting a small </w:t>
      </w:r>
      <w:r w:rsidRPr="004E2959">
        <w:rPr>
          <w:lang w:val="en-GB"/>
        </w:rPr>
        <w:t xml:space="preserve">number of feasible </w:t>
      </w:r>
      <w:r w:rsidR="002F50A5" w:rsidRPr="004E2959">
        <w:rPr>
          <w:lang w:val="en-GB"/>
        </w:rPr>
        <w:t>interventions</w:t>
      </w:r>
      <w:r w:rsidR="0019145D" w:rsidRPr="004E2959">
        <w:rPr>
          <w:lang w:val="en-GB"/>
        </w:rPr>
        <w:t xml:space="preserve"> in settings where success is </w:t>
      </w:r>
      <w:r w:rsidR="002F50A5" w:rsidRPr="004E2959">
        <w:rPr>
          <w:lang w:val="en-GB"/>
        </w:rPr>
        <w:t>likely</w:t>
      </w:r>
      <w:r w:rsidR="0019145D" w:rsidRPr="004E2959">
        <w:rPr>
          <w:lang w:val="en-GB"/>
        </w:rPr>
        <w:t xml:space="preserve">, which can then </w:t>
      </w:r>
      <w:r w:rsidRPr="004E2959">
        <w:rPr>
          <w:lang w:val="en-GB"/>
        </w:rPr>
        <w:t xml:space="preserve">serve as </w:t>
      </w:r>
      <w:proofErr w:type="gramStart"/>
      <w:r w:rsidR="0019145D" w:rsidRPr="004E2959">
        <w:rPr>
          <w:lang w:val="en-GB"/>
        </w:rPr>
        <w:t xml:space="preserve">examples </w:t>
      </w:r>
      <w:r w:rsidRPr="004E2959">
        <w:rPr>
          <w:lang w:val="en-GB"/>
        </w:rPr>
        <w:t xml:space="preserve"> </w:t>
      </w:r>
      <w:r w:rsidR="0019145D" w:rsidRPr="004E2959">
        <w:rPr>
          <w:lang w:val="en-GB"/>
        </w:rPr>
        <w:t>for</w:t>
      </w:r>
      <w:proofErr w:type="gramEnd"/>
      <w:r w:rsidR="0019145D" w:rsidRPr="004E2959">
        <w:rPr>
          <w:lang w:val="en-GB"/>
        </w:rPr>
        <w:t xml:space="preserve"> similar work in </w:t>
      </w:r>
      <w:r w:rsidRPr="004E2959">
        <w:rPr>
          <w:lang w:val="en-GB"/>
        </w:rPr>
        <w:t>other countries.</w:t>
      </w:r>
    </w:p>
    <w:p w:rsidR="005A6954" w:rsidRPr="004E2959" w:rsidRDefault="001D6E3A">
      <w:pPr>
        <w:rPr>
          <w:lang w:val="en-GB"/>
        </w:rPr>
      </w:pPr>
      <w:r w:rsidRPr="004E2959">
        <w:rPr>
          <w:lang w:val="en-GB"/>
        </w:rPr>
        <w:t xml:space="preserve">Participants agreed with the proposed activities for </w:t>
      </w:r>
      <w:r w:rsidRPr="004E2959">
        <w:rPr>
          <w:b/>
          <w:bCs/>
          <w:lang w:val="en-GB"/>
        </w:rPr>
        <w:t>results area 1</w:t>
      </w:r>
      <w:r w:rsidRPr="004E2959">
        <w:rPr>
          <w:lang w:val="en-GB"/>
        </w:rPr>
        <w:t xml:space="preserve">, the collection and dissemination of data </w:t>
      </w:r>
      <w:r w:rsidR="0019145D" w:rsidRPr="004E2959">
        <w:rPr>
          <w:lang w:val="en-GB"/>
        </w:rPr>
        <w:t xml:space="preserve">on </w:t>
      </w:r>
      <w:r w:rsidRPr="004E2959">
        <w:rPr>
          <w:lang w:val="en-GB"/>
        </w:rPr>
        <w:t>co</w:t>
      </w:r>
      <w:r w:rsidR="005A6954" w:rsidRPr="004E2959">
        <w:rPr>
          <w:lang w:val="en-GB"/>
        </w:rPr>
        <w:t>nflict-related sexual violence</w:t>
      </w:r>
      <w:r w:rsidR="00062867" w:rsidRPr="004E2959">
        <w:rPr>
          <w:lang w:val="en-GB"/>
        </w:rPr>
        <w:t>. H</w:t>
      </w:r>
      <w:r w:rsidR="005A6954" w:rsidRPr="004E2959">
        <w:rPr>
          <w:lang w:val="en-GB"/>
        </w:rPr>
        <w:t>owever</w:t>
      </w:r>
      <w:r w:rsidR="00062867" w:rsidRPr="004E2959">
        <w:rPr>
          <w:lang w:val="en-GB"/>
        </w:rPr>
        <w:t>,</w:t>
      </w:r>
      <w:r w:rsidR="005A6954" w:rsidRPr="004E2959">
        <w:rPr>
          <w:lang w:val="en-GB"/>
        </w:rPr>
        <w:t xml:space="preserve"> </w:t>
      </w:r>
      <w:r w:rsidR="00062867" w:rsidRPr="004E2959">
        <w:rPr>
          <w:lang w:val="en-GB"/>
        </w:rPr>
        <w:t xml:space="preserve">it was noted that </w:t>
      </w:r>
      <w:r w:rsidR="005A6954" w:rsidRPr="004E2959">
        <w:rPr>
          <w:lang w:val="en-GB"/>
        </w:rPr>
        <w:t xml:space="preserve">WHO should work increasingly on </w:t>
      </w:r>
      <w:r w:rsidR="00062867" w:rsidRPr="004E2959">
        <w:rPr>
          <w:lang w:val="en-GB"/>
        </w:rPr>
        <w:t xml:space="preserve">ways to </w:t>
      </w:r>
      <w:r w:rsidR="005A6954" w:rsidRPr="004E2959">
        <w:rPr>
          <w:lang w:val="en-GB"/>
        </w:rPr>
        <w:t>translat</w:t>
      </w:r>
      <w:r w:rsidR="00062867" w:rsidRPr="004E2959">
        <w:rPr>
          <w:lang w:val="en-GB"/>
        </w:rPr>
        <w:t>e</w:t>
      </w:r>
      <w:r w:rsidR="005A6954" w:rsidRPr="004E2959">
        <w:rPr>
          <w:lang w:val="en-GB"/>
        </w:rPr>
        <w:t xml:space="preserve"> data into action at country-level.</w:t>
      </w:r>
    </w:p>
    <w:p w:rsidR="00BF3076" w:rsidRPr="004E2959" w:rsidRDefault="00BF3076" w:rsidP="00DE3748">
      <w:pPr>
        <w:rPr>
          <w:lang w:val="en-GB"/>
        </w:rPr>
      </w:pPr>
      <w:r w:rsidRPr="004E2959">
        <w:rPr>
          <w:lang w:val="en-GB"/>
        </w:rPr>
        <w:t xml:space="preserve">For </w:t>
      </w:r>
      <w:r w:rsidRPr="004E2959">
        <w:rPr>
          <w:b/>
          <w:bCs/>
          <w:lang w:val="en-GB"/>
        </w:rPr>
        <w:t>results area 2</w:t>
      </w:r>
      <w:r w:rsidRPr="004E2959">
        <w:rPr>
          <w:lang w:val="en-GB"/>
        </w:rPr>
        <w:t xml:space="preserve">, strengthened evidence on what works to prevent and respond to sexual violence, </w:t>
      </w:r>
      <w:r w:rsidR="00C718F0" w:rsidRPr="004E2959">
        <w:rPr>
          <w:lang w:val="en-GB"/>
        </w:rPr>
        <w:t xml:space="preserve">participants highlighted the need to increase the evidence, particularly with regard </w:t>
      </w:r>
      <w:r w:rsidR="004C1138">
        <w:rPr>
          <w:lang w:val="en-GB"/>
        </w:rPr>
        <w:t>to monitoring and evaluation of existing interventions</w:t>
      </w:r>
      <w:r w:rsidR="00914FBB" w:rsidRPr="004E2959">
        <w:rPr>
          <w:lang w:val="en-GB"/>
        </w:rPr>
        <w:t xml:space="preserve">, and noted that the term evidence-informed was preferable to evidence-based. </w:t>
      </w:r>
      <w:r w:rsidR="00C718F0" w:rsidRPr="004E2959">
        <w:rPr>
          <w:lang w:val="en-GB"/>
        </w:rPr>
        <w:t xml:space="preserve"> </w:t>
      </w:r>
      <w:r w:rsidR="00840A64" w:rsidRPr="004E2959">
        <w:rPr>
          <w:lang w:val="en-GB"/>
        </w:rPr>
        <w:t xml:space="preserve">It was suggested that WHO </w:t>
      </w:r>
      <w:r w:rsidR="004C1138">
        <w:rPr>
          <w:lang w:val="en-GB"/>
        </w:rPr>
        <w:t>also</w:t>
      </w:r>
      <w:r w:rsidR="004C1138" w:rsidRPr="004E2959">
        <w:rPr>
          <w:lang w:val="en-GB"/>
        </w:rPr>
        <w:t xml:space="preserve"> </w:t>
      </w:r>
      <w:r w:rsidR="00840A64" w:rsidRPr="004E2959">
        <w:rPr>
          <w:lang w:val="en-GB"/>
        </w:rPr>
        <w:t>focus on sexual violence against children and other interrelated forms of violence</w:t>
      </w:r>
      <w:r w:rsidR="00914FBB" w:rsidRPr="004E2959">
        <w:rPr>
          <w:lang w:val="en-GB"/>
        </w:rPr>
        <w:t>, and do more to address</w:t>
      </w:r>
      <w:r w:rsidR="00840A64" w:rsidRPr="004E2959">
        <w:rPr>
          <w:lang w:val="en-GB"/>
        </w:rPr>
        <w:t xml:space="preserve"> alcohol and other risk factors </w:t>
      </w:r>
      <w:r w:rsidR="00914FBB" w:rsidRPr="004E2959">
        <w:rPr>
          <w:lang w:val="en-GB"/>
        </w:rPr>
        <w:t xml:space="preserve">for </w:t>
      </w:r>
      <w:r w:rsidR="00840A64" w:rsidRPr="004E2959">
        <w:rPr>
          <w:lang w:val="en-GB"/>
        </w:rPr>
        <w:t>sexual violence.</w:t>
      </w:r>
      <w:r w:rsidR="004C1138">
        <w:rPr>
          <w:lang w:val="en-GB"/>
        </w:rPr>
        <w:t xml:space="preserve">  On intervention research, </w:t>
      </w:r>
      <w:r w:rsidR="00001580">
        <w:rPr>
          <w:lang w:val="en-GB"/>
        </w:rPr>
        <w:t>it was noted</w:t>
      </w:r>
      <w:r w:rsidR="004C1138">
        <w:rPr>
          <w:lang w:val="en-GB"/>
        </w:rPr>
        <w:t xml:space="preserve"> that </w:t>
      </w:r>
      <w:r w:rsidR="00DE3748">
        <w:rPr>
          <w:lang w:val="en-GB"/>
        </w:rPr>
        <w:t xml:space="preserve">more research is required to identify effective interventions. </w:t>
      </w:r>
    </w:p>
    <w:p w:rsidR="00914FBB" w:rsidRPr="004E2959" w:rsidRDefault="00B81C15" w:rsidP="004C1138">
      <w:pPr>
        <w:rPr>
          <w:lang w:val="en-GB"/>
        </w:rPr>
      </w:pPr>
      <w:r w:rsidRPr="004E2959">
        <w:rPr>
          <w:b/>
          <w:bCs/>
          <w:lang w:val="en-GB"/>
        </w:rPr>
        <w:t>Results area 3</w:t>
      </w:r>
      <w:r w:rsidRPr="004E2959">
        <w:rPr>
          <w:lang w:val="en-GB"/>
        </w:rPr>
        <w:t xml:space="preserve"> focuse</w:t>
      </w:r>
      <w:r w:rsidR="00914FBB" w:rsidRPr="004E2959">
        <w:rPr>
          <w:lang w:val="en-GB"/>
        </w:rPr>
        <w:t xml:space="preserve">s </w:t>
      </w:r>
      <w:r w:rsidRPr="004E2959">
        <w:rPr>
          <w:lang w:val="en-GB"/>
        </w:rPr>
        <w:t xml:space="preserve">on strengthened policy response and programming. In addition to the proposed activities, it was suggested that WHO provides </w:t>
      </w:r>
      <w:r w:rsidR="00914FBB" w:rsidRPr="004E2959">
        <w:rPr>
          <w:lang w:val="en-GB"/>
        </w:rPr>
        <w:t xml:space="preserve">more </w:t>
      </w:r>
      <w:r w:rsidRPr="004E2959">
        <w:rPr>
          <w:lang w:val="en-GB"/>
        </w:rPr>
        <w:t xml:space="preserve">guidance for data collection, </w:t>
      </w:r>
      <w:r w:rsidR="004C1138">
        <w:rPr>
          <w:lang w:val="en-GB"/>
        </w:rPr>
        <w:t>and indicators</w:t>
      </w:r>
      <w:r w:rsidRPr="004E2959">
        <w:rPr>
          <w:lang w:val="en-GB"/>
        </w:rPr>
        <w:t>.</w:t>
      </w:r>
      <w:r w:rsidR="0024283C" w:rsidRPr="004E2959">
        <w:rPr>
          <w:lang w:val="en-GB"/>
        </w:rPr>
        <w:t xml:space="preserve"> Normative work should be promoted</w:t>
      </w:r>
      <w:r w:rsidR="00914FBB" w:rsidRPr="004E2959">
        <w:rPr>
          <w:lang w:val="en-GB"/>
        </w:rPr>
        <w:t>, with an emphasis on ensuring its ownership by other agencies and implementing partners.</w:t>
      </w:r>
      <w:r w:rsidR="00D972D8">
        <w:rPr>
          <w:lang w:val="en-GB"/>
        </w:rPr>
        <w:t xml:space="preserve">  It was also noted that clinical care is very critical to spark other activities and can be built on including linking with other sectors.  </w:t>
      </w:r>
    </w:p>
    <w:p w:rsidR="00DC1AC1" w:rsidRPr="004E2959" w:rsidRDefault="00BD3E26" w:rsidP="005861DA">
      <w:pPr>
        <w:rPr>
          <w:lang w:val="en-GB"/>
        </w:rPr>
      </w:pPr>
      <w:r w:rsidRPr="004E2959">
        <w:rPr>
          <w:lang w:val="en-GB"/>
        </w:rPr>
        <w:t xml:space="preserve">The discussion on </w:t>
      </w:r>
      <w:r w:rsidRPr="004E2959">
        <w:rPr>
          <w:b/>
          <w:bCs/>
          <w:lang w:val="en-GB"/>
        </w:rPr>
        <w:t>results area 4</w:t>
      </w:r>
      <w:r w:rsidRPr="004E2959">
        <w:rPr>
          <w:lang w:val="en-GB"/>
        </w:rPr>
        <w:t xml:space="preserve"> about visibility and political will yielded several suggestions that went beyond the proposed activities. </w:t>
      </w:r>
      <w:r w:rsidR="0024283C" w:rsidRPr="004E2959">
        <w:rPr>
          <w:lang w:val="en-GB"/>
        </w:rPr>
        <w:t xml:space="preserve">Conducting journalist trainings on violence prevention was </w:t>
      </w:r>
      <w:r w:rsidR="00914FBB" w:rsidRPr="004E2959">
        <w:rPr>
          <w:lang w:val="en-GB"/>
        </w:rPr>
        <w:t xml:space="preserve">acknowledged </w:t>
      </w:r>
      <w:r w:rsidR="0024283C" w:rsidRPr="004E2959">
        <w:rPr>
          <w:lang w:val="en-GB"/>
        </w:rPr>
        <w:t>as a</w:t>
      </w:r>
      <w:r w:rsidR="00914FBB" w:rsidRPr="004E2959">
        <w:rPr>
          <w:lang w:val="en-GB"/>
        </w:rPr>
        <w:t>n important</w:t>
      </w:r>
      <w:r w:rsidR="0024283C" w:rsidRPr="004E2959">
        <w:rPr>
          <w:lang w:val="en-GB"/>
        </w:rPr>
        <w:t xml:space="preserve"> first step </w:t>
      </w:r>
      <w:r w:rsidR="00914FBB" w:rsidRPr="004E2959">
        <w:rPr>
          <w:lang w:val="en-GB"/>
        </w:rPr>
        <w:t xml:space="preserve">in </w:t>
      </w:r>
      <w:r w:rsidR="0024283C" w:rsidRPr="004E2959">
        <w:rPr>
          <w:lang w:val="en-GB"/>
        </w:rPr>
        <w:t>increas</w:t>
      </w:r>
      <w:r w:rsidR="00914FBB" w:rsidRPr="004E2959">
        <w:rPr>
          <w:lang w:val="en-GB"/>
        </w:rPr>
        <w:t xml:space="preserve">ing </w:t>
      </w:r>
      <w:r w:rsidR="0024283C" w:rsidRPr="004E2959">
        <w:rPr>
          <w:lang w:val="en-GB"/>
        </w:rPr>
        <w:t>attention to the issue</w:t>
      </w:r>
      <w:r w:rsidR="005861DA">
        <w:rPr>
          <w:lang w:val="en-GB"/>
        </w:rPr>
        <w:t>. I</w:t>
      </w:r>
      <w:r w:rsidR="00A00347" w:rsidRPr="004E2959">
        <w:rPr>
          <w:lang w:val="en-GB"/>
        </w:rPr>
        <w:t xml:space="preserve">t was noted that </w:t>
      </w:r>
      <w:r w:rsidR="0024283C" w:rsidRPr="004E2959">
        <w:rPr>
          <w:lang w:val="en-GB"/>
        </w:rPr>
        <w:t>more focus should be placed on interventions to increase country</w:t>
      </w:r>
      <w:r w:rsidR="00A00347" w:rsidRPr="004E2959">
        <w:rPr>
          <w:lang w:val="en-GB"/>
        </w:rPr>
        <w:t xml:space="preserve"> </w:t>
      </w:r>
      <w:r w:rsidR="0024283C" w:rsidRPr="004E2959">
        <w:rPr>
          <w:lang w:val="en-GB"/>
        </w:rPr>
        <w:t>ownership.</w:t>
      </w:r>
      <w:r w:rsidR="00A00347" w:rsidRPr="004E2959">
        <w:rPr>
          <w:lang w:val="en-GB"/>
        </w:rPr>
        <w:t xml:space="preserve"> To increase political will and commitment at the country level, it was suggested that WHO should produce estimates of the economic costs of sexual violence. </w:t>
      </w:r>
    </w:p>
    <w:p w:rsidR="00DC1AC1" w:rsidRPr="004E2959" w:rsidRDefault="0024283C">
      <w:pPr>
        <w:rPr>
          <w:lang w:val="en-GB"/>
        </w:rPr>
      </w:pPr>
      <w:r w:rsidRPr="004E2959">
        <w:rPr>
          <w:lang w:val="en-GB"/>
        </w:rPr>
        <w:t xml:space="preserve">To increase </w:t>
      </w:r>
      <w:r w:rsidR="00A00347" w:rsidRPr="004E2959">
        <w:rPr>
          <w:lang w:val="en-GB"/>
        </w:rPr>
        <w:t xml:space="preserve">global </w:t>
      </w:r>
      <w:r w:rsidRPr="004E2959">
        <w:rPr>
          <w:lang w:val="en-GB"/>
        </w:rPr>
        <w:t>political will and visibility</w:t>
      </w:r>
      <w:r w:rsidR="00A00347" w:rsidRPr="004E2959">
        <w:rPr>
          <w:lang w:val="en-GB"/>
        </w:rPr>
        <w:t>,</w:t>
      </w:r>
      <w:r w:rsidRPr="004E2959">
        <w:rPr>
          <w:lang w:val="en-GB"/>
        </w:rPr>
        <w:t xml:space="preserve"> it was suggested that WHO should be mandated by either a GA resolution or a WHA resolution to implement its work</w:t>
      </w:r>
      <w:r w:rsidR="00A00347" w:rsidRPr="004E2959">
        <w:rPr>
          <w:lang w:val="en-GB"/>
        </w:rPr>
        <w:t xml:space="preserve"> </w:t>
      </w:r>
      <w:r w:rsidRPr="004E2959">
        <w:rPr>
          <w:lang w:val="en-GB"/>
        </w:rPr>
        <w:t>plan on sexual violence. It was suggested that the message should be repeated at different platforms, addressing bilateral and multi-lateral agencies</w:t>
      </w:r>
      <w:r w:rsidR="00A00347" w:rsidRPr="004E2959">
        <w:rPr>
          <w:lang w:val="en-GB"/>
        </w:rPr>
        <w:t>,</w:t>
      </w:r>
      <w:r w:rsidRPr="004E2959">
        <w:rPr>
          <w:lang w:val="en-GB"/>
        </w:rPr>
        <w:t xml:space="preserve"> and potentially the G8 during the UK presidency</w:t>
      </w:r>
      <w:r w:rsidR="00A00347" w:rsidRPr="004E2959">
        <w:rPr>
          <w:lang w:val="en-GB"/>
        </w:rPr>
        <w:t xml:space="preserve">, </w:t>
      </w:r>
      <w:r w:rsidR="00E5514F" w:rsidRPr="004E2959">
        <w:rPr>
          <w:lang w:val="en-GB"/>
        </w:rPr>
        <w:t>and the post</w:t>
      </w:r>
      <w:r w:rsidR="00A00347" w:rsidRPr="004E2959">
        <w:rPr>
          <w:lang w:val="en-GB"/>
        </w:rPr>
        <w:t>-</w:t>
      </w:r>
      <w:r w:rsidR="00E5514F" w:rsidRPr="004E2959">
        <w:rPr>
          <w:lang w:val="en-GB"/>
        </w:rPr>
        <w:t>2015 framework</w:t>
      </w:r>
      <w:r w:rsidRPr="004E2959">
        <w:rPr>
          <w:lang w:val="en-GB"/>
        </w:rPr>
        <w:t>.</w:t>
      </w:r>
    </w:p>
    <w:p w:rsidR="002A67FC" w:rsidRDefault="00840A64" w:rsidP="00001580">
      <w:pPr>
        <w:rPr>
          <w:lang w:val="en-GB"/>
        </w:rPr>
      </w:pPr>
      <w:r w:rsidRPr="004E2959">
        <w:rPr>
          <w:b/>
          <w:bCs/>
          <w:lang w:val="en-GB"/>
        </w:rPr>
        <w:t>Results area 5</w:t>
      </w:r>
      <w:r w:rsidRPr="004E2959">
        <w:rPr>
          <w:lang w:val="en-GB"/>
        </w:rPr>
        <w:t xml:space="preserve"> </w:t>
      </w:r>
      <w:r w:rsidR="004C1138">
        <w:rPr>
          <w:lang w:val="en-GB"/>
        </w:rPr>
        <w:t xml:space="preserve">was seen as </w:t>
      </w:r>
      <w:r w:rsidR="00001580">
        <w:rPr>
          <w:lang w:val="en-GB"/>
        </w:rPr>
        <w:t>a</w:t>
      </w:r>
      <w:r w:rsidR="004C1138">
        <w:rPr>
          <w:lang w:val="en-GB"/>
        </w:rPr>
        <w:t xml:space="preserve"> part of the plan</w:t>
      </w:r>
      <w:r w:rsidR="00001580">
        <w:rPr>
          <w:lang w:val="en-GB"/>
        </w:rPr>
        <w:t xml:space="preserve"> needing further development</w:t>
      </w:r>
      <w:r w:rsidR="004C1138">
        <w:rPr>
          <w:lang w:val="en-GB"/>
        </w:rPr>
        <w:t xml:space="preserve">.  It was acknowledged that a WHO-wide plan on violence against women could be </w:t>
      </w:r>
      <w:r w:rsidRPr="004E2959">
        <w:rPr>
          <w:lang w:val="en-GB"/>
        </w:rPr>
        <w:t xml:space="preserve">a mechanism </w:t>
      </w:r>
      <w:r w:rsidR="00A00347" w:rsidRPr="004E2959">
        <w:rPr>
          <w:lang w:val="en-GB"/>
        </w:rPr>
        <w:t>for</w:t>
      </w:r>
      <w:r w:rsidRPr="004E2959">
        <w:rPr>
          <w:lang w:val="en-GB"/>
        </w:rPr>
        <w:t xml:space="preserve"> strengthen</w:t>
      </w:r>
      <w:r w:rsidR="00A00347" w:rsidRPr="004E2959">
        <w:rPr>
          <w:lang w:val="en-GB"/>
        </w:rPr>
        <w:t>ing</w:t>
      </w:r>
      <w:r w:rsidRPr="004E2959">
        <w:rPr>
          <w:lang w:val="en-GB"/>
        </w:rPr>
        <w:t xml:space="preserve"> cooperation and accountability </w:t>
      </w:r>
      <w:r w:rsidR="003A1EDA" w:rsidRPr="004E2959">
        <w:rPr>
          <w:lang w:val="en-GB"/>
        </w:rPr>
        <w:t>across the three levels of the organization</w:t>
      </w:r>
      <w:r w:rsidRPr="004E2959">
        <w:rPr>
          <w:lang w:val="en-GB"/>
        </w:rPr>
        <w:t xml:space="preserve">. </w:t>
      </w:r>
      <w:r w:rsidR="004C1138">
        <w:rPr>
          <w:lang w:val="en-GB"/>
        </w:rPr>
        <w:t xml:space="preserve">However, questions were raised about how Result 5 would be funded and achieved.  </w:t>
      </w:r>
      <w:r w:rsidRPr="004E2959">
        <w:rPr>
          <w:lang w:val="en-GB"/>
        </w:rPr>
        <w:t xml:space="preserve">It was </w:t>
      </w:r>
      <w:r w:rsidR="00A00347" w:rsidRPr="004E2959">
        <w:rPr>
          <w:lang w:val="en-GB"/>
        </w:rPr>
        <w:t>noted that any funding for WHO to develop this area of work should be provided in a way that enables integration across the three levels of WHO and between different clusters and departments. I</w:t>
      </w:r>
      <w:r w:rsidR="002A67FC" w:rsidRPr="004E2959">
        <w:rPr>
          <w:lang w:val="en-GB"/>
        </w:rPr>
        <w:t xml:space="preserve">t was further suggested to </w:t>
      </w:r>
      <w:r w:rsidR="00A00347" w:rsidRPr="004E2959">
        <w:rPr>
          <w:lang w:val="en-GB"/>
        </w:rPr>
        <w:t xml:space="preserve">strengthen </w:t>
      </w:r>
      <w:proofErr w:type="gramStart"/>
      <w:r w:rsidR="002A67FC" w:rsidRPr="004E2959">
        <w:rPr>
          <w:lang w:val="en-GB"/>
        </w:rPr>
        <w:t>WHO</w:t>
      </w:r>
      <w:r w:rsidR="00A00347" w:rsidRPr="004E2959">
        <w:rPr>
          <w:lang w:val="en-GB"/>
        </w:rPr>
        <w:t>’</w:t>
      </w:r>
      <w:r w:rsidR="002A67FC" w:rsidRPr="004E2959">
        <w:rPr>
          <w:lang w:val="en-GB"/>
        </w:rPr>
        <w:t>s</w:t>
      </w:r>
      <w:proofErr w:type="gramEnd"/>
      <w:r w:rsidR="002A67FC" w:rsidRPr="004E2959">
        <w:rPr>
          <w:lang w:val="en-GB"/>
        </w:rPr>
        <w:t xml:space="preserve"> role in other coordination mechanisms beyond the organization</w:t>
      </w:r>
      <w:r w:rsidR="00A00347" w:rsidRPr="004E2959">
        <w:rPr>
          <w:lang w:val="en-GB"/>
        </w:rPr>
        <w:t>,</w:t>
      </w:r>
      <w:r w:rsidR="002A67FC" w:rsidRPr="004E2959">
        <w:rPr>
          <w:lang w:val="en-GB"/>
        </w:rPr>
        <w:t xml:space="preserve"> and its role in the multi-sectoral response</w:t>
      </w:r>
      <w:r w:rsidR="00A00347" w:rsidRPr="004E2959">
        <w:rPr>
          <w:lang w:val="en-GB"/>
        </w:rPr>
        <w:t xml:space="preserve"> at country-level</w:t>
      </w:r>
      <w:r w:rsidR="002A67FC" w:rsidRPr="004E2959">
        <w:rPr>
          <w:lang w:val="en-GB"/>
        </w:rPr>
        <w:t xml:space="preserve">. </w:t>
      </w:r>
    </w:p>
    <w:p w:rsidR="00556A70" w:rsidRDefault="00556A70" w:rsidP="00001580">
      <w:pPr>
        <w:rPr>
          <w:lang w:val="en-GB"/>
        </w:rPr>
      </w:pPr>
    </w:p>
    <w:p w:rsidR="00556A70" w:rsidRPr="004E2959" w:rsidRDefault="00556A70" w:rsidP="00001580">
      <w:pPr>
        <w:rPr>
          <w:lang w:val="en-GB"/>
        </w:rPr>
      </w:pPr>
    </w:p>
    <w:p w:rsidR="008673B5" w:rsidRDefault="008673B5" w:rsidP="008673B5">
      <w:pPr>
        <w:rPr>
          <w:b/>
          <w:bCs/>
          <w:lang w:val="en-GB"/>
        </w:rPr>
      </w:pPr>
      <w:r w:rsidRPr="004E2959">
        <w:rPr>
          <w:b/>
          <w:bCs/>
          <w:lang w:val="en-GB"/>
        </w:rPr>
        <w:t>4. Conclusions and next steps</w:t>
      </w:r>
    </w:p>
    <w:p w:rsidR="00E70662" w:rsidRPr="004E2959" w:rsidRDefault="00E70662" w:rsidP="00144B95">
      <w:pPr>
        <w:rPr>
          <w:lang w:val="en-GB"/>
        </w:rPr>
      </w:pPr>
      <w:r>
        <w:rPr>
          <w:lang w:val="en-GB"/>
        </w:rPr>
        <w:t>The</w:t>
      </w:r>
      <w:r w:rsidR="002E7532">
        <w:rPr>
          <w:lang w:val="en-GB"/>
        </w:rPr>
        <w:t xml:space="preserve"> discussion was </w:t>
      </w:r>
      <w:r w:rsidR="00B70E29">
        <w:rPr>
          <w:lang w:val="en-GB"/>
        </w:rPr>
        <w:t>expected</w:t>
      </w:r>
      <w:r w:rsidR="002E7532">
        <w:rPr>
          <w:lang w:val="en-GB"/>
        </w:rPr>
        <w:t xml:space="preserve"> to </w:t>
      </w:r>
      <w:r w:rsidR="00001580">
        <w:rPr>
          <w:lang w:val="en-GB"/>
        </w:rPr>
        <w:t>contribute to discussions on t</w:t>
      </w:r>
      <w:r w:rsidR="0098530A">
        <w:rPr>
          <w:lang w:val="en-GB"/>
        </w:rPr>
        <w:t xml:space="preserve">he initial direction of the further development and consultation process for the </w:t>
      </w:r>
      <w:r w:rsidR="00B70E29">
        <w:rPr>
          <w:lang w:val="en-GB"/>
        </w:rPr>
        <w:t>WHO wide</w:t>
      </w:r>
      <w:r w:rsidR="002E7532">
        <w:rPr>
          <w:lang w:val="en-GB"/>
        </w:rPr>
        <w:t xml:space="preserve"> work plan. </w:t>
      </w:r>
      <w:r w:rsidR="00DE3748">
        <w:rPr>
          <w:lang w:val="en-GB"/>
        </w:rPr>
        <w:t>It was noted that t</w:t>
      </w:r>
      <w:r w:rsidR="006066B7">
        <w:rPr>
          <w:lang w:val="en-GB"/>
        </w:rPr>
        <w:t xml:space="preserve">he conclusions </w:t>
      </w:r>
      <w:r w:rsidR="00DE3748">
        <w:rPr>
          <w:lang w:val="en-GB"/>
        </w:rPr>
        <w:t>should be</w:t>
      </w:r>
      <w:r w:rsidR="006066B7">
        <w:rPr>
          <w:lang w:val="en-GB"/>
        </w:rPr>
        <w:t xml:space="preserve"> regarded as a starting point to a broader consultation</w:t>
      </w:r>
      <w:r w:rsidR="00144B95">
        <w:rPr>
          <w:lang w:val="en-GB"/>
        </w:rPr>
        <w:t xml:space="preserve">, and that </w:t>
      </w:r>
      <w:r w:rsidR="006066B7">
        <w:rPr>
          <w:lang w:val="en-GB"/>
        </w:rPr>
        <w:t xml:space="preserve">activities </w:t>
      </w:r>
      <w:r w:rsidR="00144B95">
        <w:rPr>
          <w:lang w:val="en-GB"/>
        </w:rPr>
        <w:t xml:space="preserve">included in the current draft of the </w:t>
      </w:r>
      <w:proofErr w:type="spellStart"/>
      <w:r w:rsidR="00144B95">
        <w:rPr>
          <w:lang w:val="en-GB"/>
        </w:rPr>
        <w:t>workplan</w:t>
      </w:r>
      <w:proofErr w:type="spellEnd"/>
      <w:r w:rsidR="00144B95">
        <w:rPr>
          <w:lang w:val="en-GB"/>
        </w:rPr>
        <w:t xml:space="preserve"> ware provisional only.</w:t>
      </w:r>
      <w:r w:rsidR="006066B7">
        <w:rPr>
          <w:lang w:val="en-GB"/>
        </w:rPr>
        <w:t xml:space="preserve"> </w:t>
      </w:r>
      <w:r w:rsidR="0098530A">
        <w:rPr>
          <w:lang w:val="en-GB"/>
        </w:rPr>
        <w:t>It was suggested to prioritize the following areas in the consultation process</w:t>
      </w:r>
      <w:r w:rsidR="002E7532">
        <w:rPr>
          <w:lang w:val="en-GB"/>
        </w:rPr>
        <w:t>:</w:t>
      </w:r>
    </w:p>
    <w:p w:rsidR="00712674" w:rsidRDefault="007F70DD" w:rsidP="00C52B8A">
      <w:pPr>
        <w:pStyle w:val="ListParagraph"/>
        <w:numPr>
          <w:ilvl w:val="0"/>
          <w:numId w:val="5"/>
        </w:numPr>
      </w:pPr>
      <w:r>
        <w:t xml:space="preserve">Participants </w:t>
      </w:r>
      <w:r w:rsidR="0066751B">
        <w:t>were in favour of a</w:t>
      </w:r>
      <w:r>
        <w:t xml:space="preserve"> </w:t>
      </w:r>
      <w:r w:rsidR="0066751B">
        <w:t>stronger</w:t>
      </w:r>
      <w:r>
        <w:t xml:space="preserve"> role </w:t>
      </w:r>
      <w:r w:rsidR="00712674">
        <w:t>for</w:t>
      </w:r>
      <w:r>
        <w:t xml:space="preserve"> </w:t>
      </w:r>
      <w:proofErr w:type="gramStart"/>
      <w:r w:rsidRPr="00BF432E">
        <w:t>WHO</w:t>
      </w:r>
      <w:proofErr w:type="gramEnd"/>
      <w:r w:rsidRPr="00BF432E">
        <w:t xml:space="preserve"> </w:t>
      </w:r>
      <w:r>
        <w:t>in addressing</w:t>
      </w:r>
      <w:r w:rsidRPr="00BF432E">
        <w:t xml:space="preserve"> conflict-related sexual violence</w:t>
      </w:r>
      <w:r>
        <w:t xml:space="preserve">. </w:t>
      </w:r>
      <w:r w:rsidRPr="00BF432E">
        <w:t>WHO was seen as adding value in the areas of data collection; generation and dissemination of evidence on what works; global and national advocacy, and country-level policy development</w:t>
      </w:r>
      <w:r w:rsidR="00001580">
        <w:t>.</w:t>
      </w:r>
    </w:p>
    <w:p w:rsidR="00C52B8A" w:rsidRDefault="00C52B8A" w:rsidP="00712674">
      <w:pPr>
        <w:pStyle w:val="ListParagraph"/>
      </w:pPr>
    </w:p>
    <w:p w:rsidR="00E70662" w:rsidRDefault="005518E3" w:rsidP="009038FE">
      <w:pPr>
        <w:pStyle w:val="ListParagraph"/>
        <w:numPr>
          <w:ilvl w:val="0"/>
          <w:numId w:val="2"/>
        </w:numPr>
      </w:pPr>
      <w:proofErr w:type="gramStart"/>
      <w:r>
        <w:t>WHO</w:t>
      </w:r>
      <w:r w:rsidR="00712674">
        <w:t>’</w:t>
      </w:r>
      <w:r>
        <w:t>s</w:t>
      </w:r>
      <w:proofErr w:type="gramEnd"/>
      <w:r>
        <w:t xml:space="preserve"> role and mandate in a m</w:t>
      </w:r>
      <w:r w:rsidR="00E70662">
        <w:t xml:space="preserve">ulti-sectoral response </w:t>
      </w:r>
      <w:r>
        <w:t xml:space="preserve">needs to be further specified, </w:t>
      </w:r>
      <w:r w:rsidR="00712674">
        <w:t xml:space="preserve">in particular </w:t>
      </w:r>
      <w:r>
        <w:t xml:space="preserve">whether </w:t>
      </w:r>
      <w:r w:rsidR="00712674">
        <w:t>it</w:t>
      </w:r>
      <w:r>
        <w:t xml:space="preserve"> </w:t>
      </w:r>
      <w:r w:rsidR="0066751B">
        <w:t>should act</w:t>
      </w:r>
      <w:r>
        <w:t xml:space="preserve"> as a facilitator and convenor</w:t>
      </w:r>
      <w:r w:rsidR="009038FE">
        <w:t>,</w:t>
      </w:r>
      <w:r>
        <w:t xml:space="preserve"> or </w:t>
      </w:r>
      <w:r w:rsidR="009038FE">
        <w:t>just</w:t>
      </w:r>
      <w:r>
        <w:t xml:space="preserve"> </w:t>
      </w:r>
      <w:r w:rsidR="00E70662">
        <w:t xml:space="preserve">provide </w:t>
      </w:r>
      <w:r w:rsidR="0066751B">
        <w:t xml:space="preserve">authoritative </w:t>
      </w:r>
      <w:r w:rsidR="00E70662">
        <w:t>guidance to other sectors</w:t>
      </w:r>
      <w:r w:rsidR="00D972D8">
        <w:t xml:space="preserve"> in</w:t>
      </w:r>
      <w:r w:rsidR="00E70662">
        <w:t xml:space="preserve"> </w:t>
      </w:r>
      <w:r>
        <w:t>applying</w:t>
      </w:r>
      <w:r w:rsidR="00E70662">
        <w:t xml:space="preserve"> a public health approach</w:t>
      </w:r>
      <w:r w:rsidR="00C52B8A">
        <w:t>.</w:t>
      </w:r>
    </w:p>
    <w:p w:rsidR="00712674" w:rsidRDefault="00712674" w:rsidP="00712674">
      <w:pPr>
        <w:pStyle w:val="ListParagraph"/>
      </w:pPr>
    </w:p>
    <w:p w:rsidR="00E70662" w:rsidRDefault="00E70662" w:rsidP="00D972D8">
      <w:pPr>
        <w:pStyle w:val="ListParagraph"/>
        <w:numPr>
          <w:ilvl w:val="0"/>
          <w:numId w:val="2"/>
        </w:numPr>
      </w:pPr>
      <w:r>
        <w:t xml:space="preserve">While it </w:t>
      </w:r>
      <w:r w:rsidR="005518E3">
        <w:t>was</w:t>
      </w:r>
      <w:r>
        <w:t xml:space="preserve"> acknowledged that there is still a lack </w:t>
      </w:r>
      <w:r w:rsidR="005518E3">
        <w:t>of evidence and guidance in particular in the area of prevention of conflict-related sexual violence, participants perceived the need to show results at the country level</w:t>
      </w:r>
      <w:r w:rsidR="00001580">
        <w:t xml:space="preserve"> as having utmost importance</w:t>
      </w:r>
      <w:r w:rsidR="005518E3">
        <w:t>.</w:t>
      </w:r>
      <w:r w:rsidR="00001580">
        <w:t xml:space="preserve"> How to ensure implementation of WHO norms and standards requires further discussion. </w:t>
      </w:r>
    </w:p>
    <w:p w:rsidR="00712674" w:rsidRDefault="00712674" w:rsidP="00712674">
      <w:pPr>
        <w:pStyle w:val="ListParagraph"/>
      </w:pPr>
    </w:p>
    <w:p w:rsidR="00A95E0E" w:rsidRDefault="00A95E0E" w:rsidP="00A95E0E">
      <w:pPr>
        <w:pStyle w:val="ListParagraph"/>
        <w:numPr>
          <w:ilvl w:val="0"/>
          <w:numId w:val="2"/>
        </w:numPr>
      </w:pPr>
      <w:r w:rsidRPr="00417B23">
        <w:t>The need for additional policy discussion with other UN agencies and by WHO governing bodies was emphasized.</w:t>
      </w:r>
    </w:p>
    <w:p w:rsidR="00A95E0E" w:rsidRDefault="00A95E0E" w:rsidP="004E2959"/>
    <w:p w:rsidR="00A95E0E" w:rsidRPr="004E2959" w:rsidRDefault="00A95E0E" w:rsidP="004E2959">
      <w:pPr>
        <w:rPr>
          <w:i/>
          <w:iCs/>
        </w:rPr>
      </w:pPr>
      <w:r w:rsidRPr="004E2959">
        <w:rPr>
          <w:i/>
          <w:iCs/>
        </w:rPr>
        <w:t>Next steps</w:t>
      </w:r>
    </w:p>
    <w:p w:rsidR="00A95E0E" w:rsidRDefault="00292428" w:rsidP="00D972D8">
      <w:pPr>
        <w:pStyle w:val="ListParagraph"/>
        <w:numPr>
          <w:ilvl w:val="0"/>
          <w:numId w:val="2"/>
        </w:numPr>
      </w:pPr>
      <w:r>
        <w:t>The d</w:t>
      </w:r>
      <w:r w:rsidR="00770061" w:rsidRPr="004E2959">
        <w:t xml:space="preserve">evelopment of </w:t>
      </w:r>
      <w:r w:rsidR="00A00347" w:rsidRPr="004E2959">
        <w:t xml:space="preserve">a </w:t>
      </w:r>
      <w:r w:rsidR="00770061" w:rsidRPr="004E2959">
        <w:t xml:space="preserve">WHO plan </w:t>
      </w:r>
      <w:r w:rsidR="00D972D8">
        <w:t xml:space="preserve">on violence against women </w:t>
      </w:r>
      <w:r w:rsidR="00770061" w:rsidRPr="004E2959">
        <w:t>for all three levels of the organization</w:t>
      </w:r>
      <w:r w:rsidR="00A00347" w:rsidRPr="004E2959">
        <w:t xml:space="preserve"> was encouraged</w:t>
      </w:r>
      <w:r>
        <w:t>.</w:t>
      </w:r>
      <w:r w:rsidR="00A95E0E">
        <w:t xml:space="preserve"> </w:t>
      </w:r>
      <w:r w:rsidR="00D972D8">
        <w:t xml:space="preserve">This would involve regional and country consultations. </w:t>
      </w:r>
    </w:p>
    <w:p w:rsidR="00292428" w:rsidRDefault="00292428" w:rsidP="00292428">
      <w:pPr>
        <w:pStyle w:val="ListParagraph"/>
        <w:numPr>
          <w:ilvl w:val="0"/>
          <w:numId w:val="2"/>
        </w:numPr>
      </w:pPr>
      <w:r>
        <w:t>Conduct needs assessment on WHO tools and guidance with relevant implementing agencies and government and NGO representatives in conflict-affected countries.</w:t>
      </w:r>
    </w:p>
    <w:p w:rsidR="00A00347" w:rsidRDefault="00A00347" w:rsidP="00270D22">
      <w:pPr>
        <w:rPr>
          <w:b/>
          <w:bCs/>
          <w:lang w:val="en-GB"/>
        </w:rPr>
      </w:pPr>
    </w:p>
    <w:p w:rsidR="00556A70" w:rsidRDefault="00556A70" w:rsidP="00270D22">
      <w:pPr>
        <w:rPr>
          <w:b/>
          <w:bCs/>
          <w:lang w:val="en-GB"/>
        </w:rPr>
      </w:pPr>
    </w:p>
    <w:p w:rsidR="00556A70" w:rsidRPr="004E2959" w:rsidRDefault="00556A70" w:rsidP="00270D22">
      <w:pPr>
        <w:rPr>
          <w:b/>
          <w:bCs/>
          <w:lang w:val="en-GB"/>
        </w:rPr>
      </w:pPr>
    </w:p>
    <w:p w:rsidR="00B51011" w:rsidRPr="004E2959" w:rsidRDefault="008673B5" w:rsidP="00270D22">
      <w:pPr>
        <w:rPr>
          <w:b/>
          <w:bCs/>
          <w:lang w:val="en-GB"/>
        </w:rPr>
      </w:pPr>
      <w:r w:rsidRPr="004E2959">
        <w:rPr>
          <w:b/>
          <w:bCs/>
          <w:lang w:val="en-GB"/>
        </w:rPr>
        <w:t>5</w:t>
      </w:r>
      <w:r w:rsidR="00401094" w:rsidRPr="004E2959">
        <w:rPr>
          <w:b/>
          <w:bCs/>
          <w:lang w:val="en-GB"/>
        </w:rPr>
        <w:t xml:space="preserve">. </w:t>
      </w:r>
      <w:r w:rsidR="00270D22" w:rsidRPr="004E2959">
        <w:rPr>
          <w:b/>
          <w:bCs/>
          <w:lang w:val="en-GB"/>
        </w:rPr>
        <w:t xml:space="preserve">DRAFT WHO </w:t>
      </w:r>
      <w:proofErr w:type="spellStart"/>
      <w:r w:rsidR="00270D22" w:rsidRPr="004E2959">
        <w:rPr>
          <w:b/>
          <w:bCs/>
          <w:lang w:val="en-GB"/>
        </w:rPr>
        <w:t>Workplan</w:t>
      </w:r>
      <w:proofErr w:type="spellEnd"/>
      <w:r w:rsidR="00270D22" w:rsidRPr="004E2959">
        <w:rPr>
          <w:b/>
          <w:bCs/>
          <w:lang w:val="en-GB"/>
        </w:rPr>
        <w:t xml:space="preserve"> to address sexual violence in conflict-affected settings</w:t>
      </w:r>
    </w:p>
    <w:p w:rsidR="00270D22" w:rsidRPr="004E2959" w:rsidRDefault="00270D22" w:rsidP="00270D22">
      <w:pPr>
        <w:rPr>
          <w:lang w:val="en-GB"/>
        </w:rPr>
      </w:pPr>
      <w:r w:rsidRPr="004E2959">
        <w:rPr>
          <w:b/>
          <w:bCs/>
          <w:lang w:val="en-GB"/>
        </w:rPr>
        <w:t>Overall goal</w:t>
      </w:r>
      <w:r w:rsidRPr="004E2959">
        <w:rPr>
          <w:lang w:val="en-GB"/>
        </w:rPr>
        <w:t xml:space="preserve">: </w:t>
      </w:r>
      <w:r w:rsidRPr="004E2959">
        <w:rPr>
          <w:lang w:val="en-GB"/>
        </w:rPr>
        <w:tab/>
        <w:t xml:space="preserve">To reduce the incidence and mitigate the consequences of conflict-related sexual violence. </w:t>
      </w:r>
    </w:p>
    <w:p w:rsidR="00270D22" w:rsidRPr="00144B95" w:rsidRDefault="00270D22" w:rsidP="00270D22">
      <w:pPr>
        <w:rPr>
          <w:rFonts w:cstheme="minorHAnsi"/>
          <w:lang w:val="en-GB"/>
        </w:rPr>
      </w:pPr>
      <w:r w:rsidRPr="00144B95">
        <w:rPr>
          <w:rFonts w:cstheme="minorHAnsi"/>
          <w:lang w:val="en-GB"/>
        </w:rPr>
        <w:t xml:space="preserve">This draft plan on conflict-related sexual violence is proposed in the context of strengthened WHO commitment to increase the public health sector's contributions to address violence against women in all countries in order to foster evidence-based prevention and enable access to services for survivors of violence against women more broadly.  Efforts to address conflict-related sexual violence are part of this larger WHO initiative, recognizing both, the endemic nature of sexual violence as well as its exacerbation during conflicts.  </w:t>
      </w:r>
    </w:p>
    <w:p w:rsidR="00270D22" w:rsidRPr="009C5F31" w:rsidRDefault="00270D22" w:rsidP="00270D22">
      <w:pPr>
        <w:rPr>
          <w:rFonts w:cstheme="minorHAnsi"/>
          <w:b/>
          <w:bCs/>
          <w:sz w:val="20"/>
          <w:szCs w:val="20"/>
          <w:lang w:val="en-GB"/>
        </w:rPr>
      </w:pPr>
      <w:r w:rsidRPr="009C5F31">
        <w:rPr>
          <w:rFonts w:cstheme="minorHAnsi"/>
          <w:b/>
          <w:bCs/>
          <w:sz w:val="20"/>
          <w:szCs w:val="20"/>
          <w:lang w:val="en-GB"/>
        </w:rPr>
        <w:lastRenderedPageBreak/>
        <w:t>Expected Results, Objectives and Key Deliverables for the Draft WHO work plan</w:t>
      </w:r>
    </w:p>
    <w:tbl>
      <w:tblPr>
        <w:tblStyle w:val="TableGrid"/>
        <w:tblW w:w="0" w:type="auto"/>
        <w:tblLook w:val="04A0" w:firstRow="1" w:lastRow="0" w:firstColumn="1" w:lastColumn="0" w:noHBand="0" w:noVBand="1"/>
      </w:tblPr>
      <w:tblGrid>
        <w:gridCol w:w="1780"/>
        <w:gridCol w:w="1749"/>
        <w:gridCol w:w="1844"/>
        <w:gridCol w:w="2424"/>
        <w:gridCol w:w="1491"/>
      </w:tblGrid>
      <w:tr w:rsidR="00270D22" w:rsidRPr="00BD3E26" w:rsidTr="00914FBB">
        <w:tc>
          <w:tcPr>
            <w:tcW w:w="2194"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Expected Results/Outcomes</w:t>
            </w:r>
          </w:p>
        </w:tc>
        <w:tc>
          <w:tcPr>
            <w:tcW w:w="2450"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Objectives</w:t>
            </w:r>
          </w:p>
        </w:tc>
        <w:tc>
          <w:tcPr>
            <w:tcW w:w="2711"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Outputs</w:t>
            </w:r>
          </w:p>
        </w:tc>
        <w:tc>
          <w:tcPr>
            <w:tcW w:w="3765"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Key Activities, Products</w:t>
            </w:r>
          </w:p>
        </w:tc>
        <w:tc>
          <w:tcPr>
            <w:tcW w:w="2056"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WHO Core Function and whether deliverable is at the Global, Regional or Country level</w:t>
            </w:r>
          </w:p>
        </w:tc>
      </w:tr>
      <w:tr w:rsidR="00270D22" w:rsidRPr="00BD3E26" w:rsidTr="00914FBB">
        <w:tc>
          <w:tcPr>
            <w:tcW w:w="2194" w:type="dxa"/>
          </w:tcPr>
          <w:p w:rsidR="00270D22" w:rsidRPr="004E2959" w:rsidRDefault="00270D22" w:rsidP="00914FBB">
            <w:pPr>
              <w:spacing w:after="200" w:line="276" w:lineRule="auto"/>
              <w:rPr>
                <w:rFonts w:cstheme="minorHAnsi"/>
                <w:b/>
                <w:bCs/>
                <w:sz w:val="16"/>
                <w:szCs w:val="16"/>
                <w:lang w:val="en-GB"/>
              </w:rPr>
            </w:pPr>
            <w:r w:rsidRPr="004E2959">
              <w:rPr>
                <w:rFonts w:cstheme="minorHAnsi"/>
                <w:sz w:val="16"/>
                <w:szCs w:val="16"/>
                <w:lang w:val="en-GB"/>
              </w:rPr>
              <w:t>R1. Improved understanding of magnitude and nature of conflict-related sexual violence</w:t>
            </w:r>
          </w:p>
        </w:tc>
        <w:tc>
          <w:tcPr>
            <w:tcW w:w="2450" w:type="dxa"/>
          </w:tcPr>
          <w:p w:rsidR="00270D22" w:rsidRPr="004E2959" w:rsidRDefault="00270D22" w:rsidP="00914FBB">
            <w:pPr>
              <w:spacing w:after="200" w:line="276" w:lineRule="auto"/>
              <w:rPr>
                <w:rFonts w:eastAsia="Times New Roman" w:cstheme="minorHAnsi"/>
                <w:sz w:val="16"/>
                <w:szCs w:val="16"/>
                <w:lang w:val="en-GB" w:eastAsia="en-US"/>
              </w:rPr>
            </w:pPr>
            <w:r w:rsidRPr="004E2959">
              <w:rPr>
                <w:rFonts w:cstheme="minorHAnsi"/>
                <w:sz w:val="16"/>
                <w:szCs w:val="16"/>
                <w:lang w:val="en-GB"/>
              </w:rPr>
              <w:t>Objective 1:  To collect and compile data and evidence on prevalence, risk factors and consequences of conflict-related sexual violence</w:t>
            </w:r>
          </w:p>
        </w:tc>
        <w:tc>
          <w:tcPr>
            <w:tcW w:w="2711" w:type="dxa"/>
          </w:tcPr>
          <w:p w:rsidR="00270D22" w:rsidRPr="004E2959" w:rsidRDefault="00270D22" w:rsidP="00914FBB">
            <w:pPr>
              <w:spacing w:after="200" w:line="276" w:lineRule="auto"/>
              <w:rPr>
                <w:rFonts w:eastAsia="Times New Roman" w:cstheme="minorHAnsi"/>
                <w:sz w:val="16"/>
                <w:szCs w:val="16"/>
                <w:lang w:val="en-GB" w:eastAsia="en-US"/>
              </w:rPr>
            </w:pPr>
            <w:r w:rsidRPr="004E2959">
              <w:rPr>
                <w:rFonts w:eastAsia="Times New Roman" w:cstheme="minorHAnsi"/>
                <w:sz w:val="16"/>
                <w:szCs w:val="16"/>
                <w:lang w:val="en-GB"/>
              </w:rPr>
              <w:t>Strengthened data collection and the evidence base for prevention of sexual violence</w:t>
            </w:r>
          </w:p>
          <w:p w:rsidR="00270D22" w:rsidRPr="004E2959" w:rsidRDefault="00270D22" w:rsidP="00914FBB">
            <w:pPr>
              <w:spacing w:after="200" w:line="276" w:lineRule="auto"/>
              <w:rPr>
                <w:rFonts w:eastAsia="Times New Roman" w:cstheme="minorHAnsi"/>
                <w:sz w:val="16"/>
                <w:szCs w:val="16"/>
                <w:lang w:val="en-GB" w:eastAsia="en-US"/>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1. Pilot and implement surveys on conflict-related sexual violence with women and men in 1- 2 countries and refine methodologies</w:t>
            </w:r>
          </w:p>
        </w:tc>
        <w:tc>
          <w:tcPr>
            <w:tcW w:w="2056"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Research, Evidence and Knowledge generation</w:t>
            </w:r>
          </w:p>
          <w:p w:rsidR="00270D22" w:rsidRPr="004E2959" w:rsidRDefault="00270D22" w:rsidP="00914FBB">
            <w:pPr>
              <w:spacing w:after="200" w:line="276" w:lineRule="auto"/>
              <w:rPr>
                <w:rFonts w:cstheme="minorHAnsi"/>
                <w:b/>
                <w:bCs/>
                <w:sz w:val="16"/>
                <w:szCs w:val="16"/>
                <w:lang w:val="en-GB"/>
              </w:rPr>
            </w:pPr>
          </w:p>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Global </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eastAsia="Times New Roman" w:cstheme="minorHAnsi"/>
                <w:sz w:val="16"/>
                <w:szCs w:val="16"/>
                <w:lang w:val="en-GB" w:eastAsia="en-US"/>
              </w:rPr>
            </w:pPr>
            <w:r w:rsidRPr="004E2959">
              <w:rPr>
                <w:rFonts w:eastAsia="Times New Roman" w:cstheme="minorHAnsi"/>
                <w:sz w:val="16"/>
                <w:szCs w:val="16"/>
                <w:lang w:val="en-GB"/>
              </w:rPr>
              <w:t>Disseminating research and data on global and regional estimates</w:t>
            </w:r>
          </w:p>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2.  Publication and dissemination of global and regional prevalence estimates and health consequences of sexual violence based on the Global Burden of Disease estimates</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3. Disseminate research agenda for conflict-related sexual violence</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rPr>
          <w:trHeight w:val="1022"/>
        </w:trPr>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eastAsia="Times New Roman" w:cstheme="minorHAnsi"/>
                <w:sz w:val="16"/>
                <w:szCs w:val="16"/>
                <w:lang w:val="en-GB" w:eastAsia="en-US"/>
              </w:rPr>
            </w:pPr>
            <w:r w:rsidRPr="004E2959">
              <w:rPr>
                <w:rFonts w:cstheme="minorHAnsi"/>
                <w:sz w:val="16"/>
                <w:szCs w:val="16"/>
                <w:lang w:val="en-GB"/>
              </w:rPr>
              <w:t>Comparative country report on prevalence, policies, laws, capacity and resources for sexual violence</w:t>
            </w:r>
          </w:p>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4.Compile brief comparative country report on prevalence, policies, laws, capacity and resources for sexual violence, based on existing Global Status Report on Violence Prevention data </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R2. Strengthened evidence on what works to prevent and respond to sexual violence </w:t>
            </w:r>
          </w:p>
        </w:tc>
        <w:tc>
          <w:tcPr>
            <w:tcW w:w="2450"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Objective 2: To generate evidence on what works to prevent and respond to sexual violence</w:t>
            </w:r>
          </w:p>
        </w:tc>
        <w:tc>
          <w:tcPr>
            <w:tcW w:w="2711" w:type="dxa"/>
          </w:tcPr>
          <w:p w:rsidR="00270D22" w:rsidRPr="004E2959" w:rsidRDefault="00270D22" w:rsidP="00914FBB">
            <w:pPr>
              <w:spacing w:after="200" w:line="276" w:lineRule="auto"/>
              <w:rPr>
                <w:rFonts w:eastAsia="Times New Roman" w:cstheme="minorHAnsi"/>
                <w:sz w:val="16"/>
                <w:szCs w:val="16"/>
                <w:lang w:val="en-GB" w:eastAsia="en-US"/>
              </w:rPr>
            </w:pPr>
            <w:r w:rsidRPr="004E2959">
              <w:rPr>
                <w:rFonts w:eastAsia="Times New Roman" w:cstheme="minorHAnsi"/>
                <w:sz w:val="16"/>
                <w:szCs w:val="16"/>
                <w:lang w:val="en-GB"/>
              </w:rPr>
              <w:t>Evidence on effective interventions to prevent and provide services for sexual violence</w:t>
            </w:r>
          </w:p>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1. Support to interventions research on addressing sexual violence in selected  settings  (non-conflict, weak institutional settings)</w:t>
            </w:r>
          </w:p>
        </w:tc>
        <w:tc>
          <w:tcPr>
            <w:tcW w:w="2056"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Research, evidence and knowledge generation</w:t>
            </w:r>
          </w:p>
          <w:p w:rsidR="00270D22" w:rsidRPr="004E2959" w:rsidRDefault="00270D22" w:rsidP="00914FBB">
            <w:pPr>
              <w:spacing w:after="200" w:line="276" w:lineRule="auto"/>
              <w:rPr>
                <w:rFonts w:cstheme="minorHAnsi"/>
                <w:sz w:val="16"/>
                <w:szCs w:val="16"/>
                <w:lang w:val="en-GB"/>
              </w:rPr>
            </w:pPr>
          </w:p>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Global </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sz w:val="16"/>
                <w:szCs w:val="16"/>
                <w:lang w:val="en-GB"/>
              </w:rPr>
              <w:t xml:space="preserve">Expanded searchable violence prevention evidence-base to include conflict-related sexual violence  </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2.  WHO and Liverpool John </w:t>
            </w:r>
            <w:proofErr w:type="spellStart"/>
            <w:r w:rsidRPr="004E2959">
              <w:rPr>
                <w:rFonts w:cstheme="minorHAnsi"/>
                <w:sz w:val="16"/>
                <w:szCs w:val="16"/>
                <w:lang w:val="en-GB"/>
              </w:rPr>
              <w:t>Moores</w:t>
            </w:r>
            <w:proofErr w:type="spellEnd"/>
            <w:r w:rsidRPr="004E2959">
              <w:rPr>
                <w:rFonts w:cstheme="minorHAnsi"/>
                <w:sz w:val="16"/>
                <w:szCs w:val="16"/>
                <w:lang w:val="en-GB"/>
              </w:rPr>
              <w:t xml:space="preserve"> University searchable violence prevention evidence-base expanded to cover conflict-related sexual violence</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3. Support to Sexual Violence Research Initiative and other collaborative research activities</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 and regional</w:t>
            </w:r>
          </w:p>
        </w:tc>
      </w:tr>
      <w:tr w:rsidR="00270D22" w:rsidRPr="00BD3E26" w:rsidTr="00914FBB">
        <w:trPr>
          <w:trHeight w:val="520"/>
        </w:trPr>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sz w:val="16"/>
                <w:szCs w:val="16"/>
                <w:lang w:val="en-GB"/>
              </w:rPr>
              <w:t>Strengthening sexual and reproductive health and health systems</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4. Evaluate deployment of reproductive health kits, including post-rape kits in crises settings</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Country</w:t>
            </w:r>
          </w:p>
        </w:tc>
      </w:tr>
      <w:tr w:rsidR="00270D22" w:rsidRPr="00BD3E26" w:rsidTr="00914FBB">
        <w:tc>
          <w:tcPr>
            <w:tcW w:w="2194" w:type="dxa"/>
          </w:tcPr>
          <w:p w:rsidR="00270D22" w:rsidRPr="004E2959" w:rsidRDefault="00270D22" w:rsidP="00914FBB">
            <w:pPr>
              <w:spacing w:after="200" w:line="276" w:lineRule="auto"/>
              <w:rPr>
                <w:rFonts w:cstheme="minorHAnsi"/>
                <w:b/>
                <w:bCs/>
                <w:sz w:val="16"/>
                <w:szCs w:val="16"/>
                <w:lang w:val="en-GB"/>
              </w:rPr>
            </w:pPr>
            <w:r w:rsidRPr="004E2959">
              <w:rPr>
                <w:rFonts w:cstheme="minorHAnsi"/>
                <w:sz w:val="16"/>
                <w:szCs w:val="16"/>
                <w:lang w:val="en-GB"/>
              </w:rPr>
              <w:t xml:space="preserve">R3. Strengthened policy response and improved </w:t>
            </w:r>
            <w:r w:rsidRPr="004E2959">
              <w:rPr>
                <w:rFonts w:cstheme="minorHAnsi"/>
                <w:sz w:val="16"/>
                <w:szCs w:val="16"/>
                <w:lang w:val="en-GB"/>
              </w:rPr>
              <w:lastRenderedPageBreak/>
              <w:t>programmes and services to prevent and respond to sexual violence, including conflict-related violence</w:t>
            </w:r>
          </w:p>
        </w:tc>
        <w:tc>
          <w:tcPr>
            <w:tcW w:w="2450"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lastRenderedPageBreak/>
              <w:t xml:space="preserve">Objective 3:  To strengthen policy </w:t>
            </w:r>
            <w:r w:rsidRPr="004E2959">
              <w:rPr>
                <w:rFonts w:cstheme="minorHAnsi"/>
                <w:sz w:val="16"/>
                <w:szCs w:val="16"/>
                <w:lang w:val="en-GB"/>
              </w:rPr>
              <w:lastRenderedPageBreak/>
              <w:t xml:space="preserve">makers understanding of sexual violence, its costs and consequences, and responses </w:t>
            </w:r>
          </w:p>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sz w:val="16"/>
                <w:szCs w:val="16"/>
                <w:lang w:val="en-GB"/>
              </w:rPr>
              <w:lastRenderedPageBreak/>
              <w:t xml:space="preserve">National policy dialogues in 2-3 countries with </w:t>
            </w:r>
            <w:r w:rsidRPr="004E2959">
              <w:rPr>
                <w:rFonts w:eastAsia="Times New Roman" w:cstheme="minorHAnsi"/>
                <w:sz w:val="16"/>
                <w:szCs w:val="16"/>
                <w:lang w:val="en-GB"/>
              </w:rPr>
              <w:lastRenderedPageBreak/>
              <w:t>policy makers to raise awareness about sexual violence, its costs and consequences and follow up technical support</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lastRenderedPageBreak/>
              <w:t xml:space="preserve">1. National policy dialogues in 2-3 countries using WHO normative </w:t>
            </w:r>
            <w:r w:rsidRPr="004E2959">
              <w:rPr>
                <w:rFonts w:cstheme="minorHAnsi"/>
                <w:sz w:val="16"/>
                <w:szCs w:val="16"/>
                <w:lang w:val="en-GB"/>
              </w:rPr>
              <w:lastRenderedPageBreak/>
              <w:t>tools and evidence on preventing and responding to intimate partner and sexual violence (e.g. stake holder consultations and on-going support for follow up activities)</w:t>
            </w:r>
          </w:p>
        </w:tc>
        <w:tc>
          <w:tcPr>
            <w:tcW w:w="2056"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lastRenderedPageBreak/>
              <w:t xml:space="preserve">Evidence-based advocacy and </w:t>
            </w:r>
            <w:r w:rsidRPr="004E2959">
              <w:rPr>
                <w:rFonts w:cstheme="minorHAnsi"/>
                <w:b/>
                <w:bCs/>
                <w:sz w:val="16"/>
                <w:szCs w:val="16"/>
                <w:lang w:val="en-GB"/>
              </w:rPr>
              <w:lastRenderedPageBreak/>
              <w:t>policy options</w:t>
            </w:r>
          </w:p>
          <w:p w:rsidR="00270D22" w:rsidRPr="004E2959" w:rsidRDefault="00270D22" w:rsidP="00914FBB">
            <w:pPr>
              <w:spacing w:after="200" w:line="276" w:lineRule="auto"/>
              <w:rPr>
                <w:rFonts w:cstheme="minorHAnsi"/>
                <w:sz w:val="16"/>
                <w:szCs w:val="16"/>
                <w:lang w:val="en-GB"/>
              </w:rPr>
            </w:pPr>
          </w:p>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Country</w:t>
            </w:r>
          </w:p>
          <w:p w:rsidR="00270D22" w:rsidRPr="004E2959" w:rsidRDefault="00270D22" w:rsidP="00914FBB">
            <w:pPr>
              <w:spacing w:after="200" w:line="276" w:lineRule="auto"/>
              <w:rPr>
                <w:rFonts w:cstheme="minorHAnsi"/>
                <w:sz w:val="16"/>
                <w:szCs w:val="16"/>
                <w:lang w:val="en-GB"/>
              </w:rPr>
            </w:pPr>
          </w:p>
        </w:tc>
      </w:tr>
      <w:tr w:rsidR="00270D22" w:rsidRPr="00BD3E26" w:rsidTr="00914FBB">
        <w:tc>
          <w:tcPr>
            <w:tcW w:w="2194" w:type="dxa"/>
          </w:tcPr>
          <w:p w:rsidR="00270D22" w:rsidRPr="004E2959" w:rsidRDefault="00270D22" w:rsidP="00914FBB">
            <w:pPr>
              <w:spacing w:after="200" w:line="276" w:lineRule="auto"/>
              <w:rPr>
                <w:rFonts w:cstheme="minorHAnsi"/>
                <w:b/>
                <w:bCs/>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Objective 4:  To strengthen capacity of programme planners, implementers, health and humanitarian actors for prevention and response at global, regional and country level</w:t>
            </w: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sz w:val="16"/>
                <w:szCs w:val="16"/>
                <w:lang w:val="en-GB"/>
              </w:rPr>
              <w:t xml:space="preserve">Increased human and institutional capacity across sectors to design, deliver, monitor and scale-up effective interventions </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1.Conduct training and follow up to identify entry points for possible interventions for prevention and care, across relevant sectors in 2-3 countries</w:t>
            </w:r>
          </w:p>
          <w:p w:rsidR="00270D22" w:rsidRPr="004E2959" w:rsidRDefault="00270D22" w:rsidP="00914FBB">
            <w:pPr>
              <w:spacing w:after="200" w:line="276" w:lineRule="auto"/>
              <w:rPr>
                <w:rFonts w:cstheme="minorHAnsi"/>
                <w:sz w:val="16"/>
                <w:szCs w:val="16"/>
                <w:lang w:val="en-GB"/>
              </w:rPr>
            </w:pPr>
          </w:p>
        </w:tc>
        <w:tc>
          <w:tcPr>
            <w:tcW w:w="2056"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 xml:space="preserve">Technical support, and Institutional capacity </w:t>
            </w:r>
          </w:p>
          <w:p w:rsidR="00270D22" w:rsidRPr="004E2959" w:rsidRDefault="00270D22" w:rsidP="00914FBB">
            <w:pPr>
              <w:spacing w:after="200" w:line="276" w:lineRule="auto"/>
              <w:rPr>
                <w:rFonts w:cstheme="minorHAnsi"/>
                <w:sz w:val="16"/>
                <w:szCs w:val="16"/>
                <w:lang w:val="en-GB"/>
              </w:rPr>
            </w:pPr>
          </w:p>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 Regional and country</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eastAsia="Times New Roman" w:cstheme="minorHAnsi"/>
                <w:sz w:val="16"/>
                <w:szCs w:val="16"/>
                <w:lang w:val="en-GB" w:eastAsia="en-US"/>
              </w:rPr>
            </w:pPr>
            <w:r w:rsidRPr="004E2959">
              <w:rPr>
                <w:rFonts w:eastAsia="Times New Roman" w:cstheme="minorHAnsi"/>
                <w:sz w:val="16"/>
                <w:szCs w:val="16"/>
                <w:lang w:val="en-GB"/>
              </w:rPr>
              <w:t>Strengthening sexual and reproductive health and health systems</w:t>
            </w:r>
          </w:p>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2. Provide technical support to follow up activities in 2-3 countries to, e.g., develop national protocols,  test new interventions,  strengthen delivery of post-rape care</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 regional and country</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3. Support Regional Offices on-going country-based responses to sexual and gender-based violence in crises settings </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Regional and Country</w:t>
            </w:r>
          </w:p>
        </w:tc>
      </w:tr>
      <w:tr w:rsidR="00270D22" w:rsidRPr="00BD3E26" w:rsidTr="00914FBB">
        <w:tc>
          <w:tcPr>
            <w:tcW w:w="2194" w:type="dxa"/>
          </w:tcPr>
          <w:p w:rsidR="00270D22" w:rsidRPr="004E2959" w:rsidRDefault="00270D22" w:rsidP="00914FBB">
            <w:pPr>
              <w:spacing w:after="200" w:line="276" w:lineRule="auto"/>
              <w:rPr>
                <w:rFonts w:cstheme="minorHAnsi"/>
                <w:b/>
                <w:bCs/>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Objective 5:  To develop norms and standards for strengthening the psychosocial, mental, sexual, reproductive and other health responses to survivors of and on primary prevention of sexual violence </w:t>
            </w: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sz w:val="16"/>
                <w:szCs w:val="16"/>
                <w:lang w:val="en-GB"/>
              </w:rPr>
              <w:t>Strengthening the response to the psychosocial and mental health needs of survivors of sexual violence</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1.Intervention guide for non-specialized health care in conflict affected settings, with guidance on care for survivors of sexual violence </w:t>
            </w:r>
          </w:p>
          <w:p w:rsidR="00270D22" w:rsidRPr="004E2959" w:rsidRDefault="00270D22" w:rsidP="00914FBB">
            <w:pPr>
              <w:spacing w:after="200" w:line="276" w:lineRule="auto"/>
              <w:rPr>
                <w:rFonts w:cstheme="minorHAnsi"/>
                <w:sz w:val="16"/>
                <w:szCs w:val="16"/>
                <w:lang w:val="en-GB"/>
              </w:rPr>
            </w:pPr>
          </w:p>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2. Guide on simple, </w:t>
            </w:r>
            <w:proofErr w:type="spellStart"/>
            <w:r w:rsidRPr="004E2959">
              <w:rPr>
                <w:rFonts w:cstheme="minorHAnsi"/>
                <w:sz w:val="16"/>
                <w:szCs w:val="16"/>
                <w:lang w:val="en-GB"/>
              </w:rPr>
              <w:t>manualized</w:t>
            </w:r>
            <w:proofErr w:type="spellEnd"/>
            <w:r w:rsidRPr="004E2959">
              <w:rPr>
                <w:rFonts w:cstheme="minorHAnsi"/>
                <w:sz w:val="16"/>
                <w:szCs w:val="16"/>
                <w:lang w:val="en-GB"/>
              </w:rPr>
              <w:t xml:space="preserve"> psychological treatments</w:t>
            </w:r>
          </w:p>
        </w:tc>
        <w:tc>
          <w:tcPr>
            <w:tcW w:w="2056" w:type="dxa"/>
          </w:tcPr>
          <w:p w:rsidR="00270D22" w:rsidRPr="004E2959" w:rsidRDefault="00270D22" w:rsidP="00914FBB">
            <w:pPr>
              <w:spacing w:after="200" w:line="276" w:lineRule="auto"/>
              <w:rPr>
                <w:rFonts w:cstheme="minorHAnsi"/>
                <w:b/>
                <w:bCs/>
                <w:sz w:val="16"/>
                <w:szCs w:val="16"/>
                <w:lang w:val="en-GB"/>
              </w:rPr>
            </w:pPr>
            <w:r w:rsidRPr="004E2959">
              <w:rPr>
                <w:rFonts w:cstheme="minorHAnsi"/>
                <w:b/>
                <w:bCs/>
                <w:sz w:val="16"/>
                <w:szCs w:val="16"/>
                <w:lang w:val="en-GB"/>
              </w:rPr>
              <w:t>Norms and Standards</w:t>
            </w:r>
          </w:p>
          <w:p w:rsidR="00270D22" w:rsidRPr="004E2959" w:rsidRDefault="00270D22" w:rsidP="00914FBB">
            <w:pPr>
              <w:spacing w:after="200" w:line="276" w:lineRule="auto"/>
              <w:rPr>
                <w:rFonts w:cstheme="minorHAnsi"/>
                <w:sz w:val="16"/>
                <w:szCs w:val="16"/>
                <w:lang w:val="en-GB"/>
              </w:rPr>
            </w:pPr>
          </w:p>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Global </w:t>
            </w:r>
          </w:p>
        </w:tc>
      </w:tr>
      <w:tr w:rsidR="00270D22" w:rsidRPr="00BD3E26" w:rsidTr="00914FBB">
        <w:tc>
          <w:tcPr>
            <w:tcW w:w="2194" w:type="dxa"/>
          </w:tcPr>
          <w:p w:rsidR="00270D22" w:rsidRPr="004E2959" w:rsidRDefault="00270D22" w:rsidP="00914FBB">
            <w:pPr>
              <w:spacing w:after="200" w:line="276" w:lineRule="auto"/>
              <w:rPr>
                <w:rFonts w:cstheme="minorHAnsi"/>
                <w:b/>
                <w:bCs/>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bCs/>
                <w:sz w:val="16"/>
                <w:szCs w:val="16"/>
                <w:lang w:val="en-GB"/>
              </w:rPr>
              <w:t>Updating norms, standards and technical guidance on sexual violence</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3. Develop and/or update, adapt  and disseminate Clinical and policy guidelines for responding to intimate partner and sexual violence, and forensic/medico-legal guidance, including to conflict-affected settings </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eastAsia="Times New Roman" w:cstheme="minorHAnsi"/>
                <w:bCs/>
                <w:sz w:val="16"/>
                <w:szCs w:val="16"/>
                <w:lang w:val="en-GB"/>
              </w:rPr>
              <w:t>Updating norms, standards and technical guidance on sexual violence</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5. Develop and disseminate WHO guideline on the primary prevention of sexual violence in conflict- and weak institutional settings</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R4. Increased visibility and political commitment to addressing conflict- related sexual violence</w:t>
            </w: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1.Global Policy dialogues on SV during relevant UN days (e.g. international day on elimination of VAW)</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Global </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2.Side event during WHA 2013</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3. Training for journalists</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R5. Strengthened WHO-wide coordinated response</w:t>
            </w:r>
          </w:p>
        </w:tc>
        <w:tc>
          <w:tcPr>
            <w:tcW w:w="2450"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 xml:space="preserve">Objective 6:  To develop a harmonized WHO-wide action plan on violence against women </w:t>
            </w:r>
          </w:p>
        </w:tc>
        <w:tc>
          <w:tcPr>
            <w:tcW w:w="2711"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Harmonized WHO-wide action plan on violence against women (including conflict-related sexual violence) and reflecting key deliverables and outputs across all levels of WHO</w:t>
            </w: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1.Regional and country office capacity building workshops</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 regional and country</w:t>
            </w:r>
          </w:p>
        </w:tc>
      </w:tr>
      <w:tr w:rsidR="00270D22" w:rsidRPr="00BD3E26" w:rsidTr="00914FBB">
        <w:tc>
          <w:tcPr>
            <w:tcW w:w="2194" w:type="dxa"/>
          </w:tcPr>
          <w:p w:rsidR="00270D22" w:rsidRPr="004E2959" w:rsidRDefault="00270D22" w:rsidP="00914FBB">
            <w:pPr>
              <w:spacing w:after="200" w:line="276" w:lineRule="auto"/>
              <w:rPr>
                <w:rFonts w:cstheme="minorHAnsi"/>
                <w:sz w:val="16"/>
                <w:szCs w:val="16"/>
                <w:lang w:val="en-GB"/>
              </w:rPr>
            </w:pPr>
          </w:p>
        </w:tc>
        <w:tc>
          <w:tcPr>
            <w:tcW w:w="2450" w:type="dxa"/>
          </w:tcPr>
          <w:p w:rsidR="00270D22" w:rsidRPr="004E2959" w:rsidRDefault="00270D22" w:rsidP="00914FBB">
            <w:pPr>
              <w:spacing w:after="200" w:line="276" w:lineRule="auto"/>
              <w:rPr>
                <w:rFonts w:cstheme="minorHAnsi"/>
                <w:sz w:val="16"/>
                <w:szCs w:val="16"/>
                <w:lang w:val="en-GB"/>
              </w:rPr>
            </w:pPr>
          </w:p>
        </w:tc>
        <w:tc>
          <w:tcPr>
            <w:tcW w:w="2711" w:type="dxa"/>
          </w:tcPr>
          <w:p w:rsidR="00270D22" w:rsidRPr="004E2959" w:rsidRDefault="00270D22" w:rsidP="00914FBB">
            <w:pPr>
              <w:spacing w:after="200" w:line="276" w:lineRule="auto"/>
              <w:rPr>
                <w:rFonts w:cstheme="minorHAnsi"/>
                <w:sz w:val="16"/>
                <w:szCs w:val="16"/>
                <w:lang w:val="en-GB"/>
              </w:rPr>
            </w:pPr>
          </w:p>
        </w:tc>
        <w:tc>
          <w:tcPr>
            <w:tcW w:w="3765"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2. Regional and global consultation</w:t>
            </w:r>
          </w:p>
        </w:tc>
        <w:tc>
          <w:tcPr>
            <w:tcW w:w="2056" w:type="dxa"/>
          </w:tcPr>
          <w:p w:rsidR="00270D22" w:rsidRPr="004E2959" w:rsidRDefault="00270D22" w:rsidP="00914FBB">
            <w:pPr>
              <w:spacing w:after="200" w:line="276" w:lineRule="auto"/>
              <w:rPr>
                <w:rFonts w:cstheme="minorHAnsi"/>
                <w:sz w:val="16"/>
                <w:szCs w:val="16"/>
                <w:lang w:val="en-GB"/>
              </w:rPr>
            </w:pPr>
            <w:r w:rsidRPr="004E2959">
              <w:rPr>
                <w:rFonts w:cstheme="minorHAnsi"/>
                <w:sz w:val="16"/>
                <w:szCs w:val="16"/>
                <w:lang w:val="en-GB"/>
              </w:rPr>
              <w:t>Global , regional and country</w:t>
            </w:r>
          </w:p>
        </w:tc>
      </w:tr>
    </w:tbl>
    <w:p w:rsidR="00270D22" w:rsidRPr="009C5F31" w:rsidRDefault="00270D22" w:rsidP="00270D22">
      <w:pPr>
        <w:pStyle w:val="ListParagraph"/>
        <w:spacing w:line="20" w:lineRule="atLeast"/>
        <w:rPr>
          <w:rFonts w:asciiTheme="minorHAnsi" w:hAnsiTheme="minorHAnsi" w:cstheme="minorHAnsi"/>
          <w:b/>
          <w:bCs/>
          <w:sz w:val="24"/>
          <w:szCs w:val="24"/>
        </w:rPr>
      </w:pPr>
    </w:p>
    <w:p w:rsidR="00270D22" w:rsidRDefault="00270D22" w:rsidP="00401094">
      <w:pPr>
        <w:rPr>
          <w:b/>
          <w:bCs/>
          <w:lang w:val="en-GB"/>
        </w:rPr>
      </w:pPr>
    </w:p>
    <w:p w:rsidR="00556A70" w:rsidRPr="004E2959" w:rsidRDefault="00556A70" w:rsidP="00401094">
      <w:pPr>
        <w:rPr>
          <w:b/>
          <w:bCs/>
          <w:lang w:val="en-GB"/>
        </w:rPr>
      </w:pPr>
    </w:p>
    <w:p w:rsidR="00401094" w:rsidRPr="004D3F0C" w:rsidRDefault="008673B5" w:rsidP="00401094">
      <w:pPr>
        <w:rPr>
          <w:b/>
          <w:bCs/>
          <w:lang w:val="en-GB"/>
        </w:rPr>
      </w:pPr>
      <w:r w:rsidRPr="004D3F0C">
        <w:rPr>
          <w:b/>
          <w:bCs/>
          <w:lang w:val="en-GB"/>
        </w:rPr>
        <w:t>6</w:t>
      </w:r>
      <w:r w:rsidR="00B51011" w:rsidRPr="004D3F0C">
        <w:rPr>
          <w:b/>
          <w:bCs/>
          <w:lang w:val="en-GB"/>
        </w:rPr>
        <w:t xml:space="preserve">. </w:t>
      </w:r>
      <w:r w:rsidR="00401094" w:rsidRPr="004D3F0C">
        <w:rPr>
          <w:b/>
          <w:bCs/>
          <w:lang w:val="en-GB"/>
        </w:rPr>
        <w:t>List of Participants</w:t>
      </w:r>
    </w:p>
    <w:tbl>
      <w:tblPr>
        <w:tblW w:w="10224" w:type="dxa"/>
        <w:tblInd w:w="-15" w:type="dxa"/>
        <w:tblCellMar>
          <w:left w:w="70" w:type="dxa"/>
          <w:right w:w="70" w:type="dxa"/>
        </w:tblCellMar>
        <w:tblLook w:val="04A0" w:firstRow="1" w:lastRow="0" w:firstColumn="1" w:lastColumn="0" w:noHBand="0" w:noVBand="1"/>
      </w:tblPr>
      <w:tblGrid>
        <w:gridCol w:w="2212"/>
        <w:gridCol w:w="4677"/>
        <w:gridCol w:w="3335"/>
      </w:tblGrid>
      <w:tr w:rsidR="004D3F0C" w:rsidTr="004D3F0C">
        <w:trPr>
          <w:trHeight w:val="300"/>
        </w:trPr>
        <w:tc>
          <w:tcPr>
            <w:tcW w:w="2212" w:type="dxa"/>
            <w:tcBorders>
              <w:bottom w:val="single" w:sz="4" w:space="0" w:color="auto"/>
            </w:tcBorders>
            <w:noWrap/>
            <w:vAlign w:val="bottom"/>
            <w:hideMark/>
          </w:tcPr>
          <w:p w:rsidR="004D3F0C" w:rsidRDefault="004D3F0C">
            <w:pPr>
              <w:rPr>
                <w:rFonts w:cs="Times New Roman"/>
                <w:b/>
                <w:bCs/>
                <w:color w:val="000000"/>
                <w:lang w:val="nb-NO" w:eastAsia="nb-NO"/>
              </w:rPr>
            </w:pPr>
            <w:proofErr w:type="spellStart"/>
            <w:r>
              <w:rPr>
                <w:b/>
                <w:bCs/>
                <w:color w:val="000000"/>
                <w:lang w:val="nb-NO" w:eastAsia="nb-NO"/>
              </w:rPr>
              <w:t>Name</w:t>
            </w:r>
            <w:proofErr w:type="spellEnd"/>
          </w:p>
        </w:tc>
        <w:tc>
          <w:tcPr>
            <w:tcW w:w="4677" w:type="dxa"/>
            <w:tcBorders>
              <w:bottom w:val="single" w:sz="4" w:space="0" w:color="auto"/>
            </w:tcBorders>
            <w:noWrap/>
            <w:vAlign w:val="bottom"/>
            <w:hideMark/>
          </w:tcPr>
          <w:p w:rsidR="004D3F0C" w:rsidRDefault="004D3F0C">
            <w:pPr>
              <w:rPr>
                <w:rFonts w:cs="Times New Roman"/>
                <w:b/>
                <w:bCs/>
                <w:color w:val="000000"/>
                <w:lang w:val="nb-NO" w:eastAsia="nb-NO"/>
              </w:rPr>
            </w:pPr>
            <w:proofErr w:type="spellStart"/>
            <w:r>
              <w:rPr>
                <w:b/>
                <w:bCs/>
                <w:color w:val="000000"/>
                <w:lang w:val="nb-NO" w:eastAsia="nb-NO"/>
              </w:rPr>
              <w:t>Position</w:t>
            </w:r>
            <w:proofErr w:type="spellEnd"/>
            <w:r>
              <w:rPr>
                <w:b/>
                <w:bCs/>
                <w:color w:val="000000"/>
                <w:lang w:val="nb-NO" w:eastAsia="nb-NO"/>
              </w:rPr>
              <w:t xml:space="preserve"> and </w:t>
            </w:r>
            <w:proofErr w:type="spellStart"/>
            <w:r>
              <w:rPr>
                <w:b/>
                <w:bCs/>
                <w:color w:val="000000"/>
                <w:lang w:val="nb-NO" w:eastAsia="nb-NO"/>
              </w:rPr>
              <w:t>organisation</w:t>
            </w:r>
            <w:proofErr w:type="spellEnd"/>
          </w:p>
        </w:tc>
        <w:tc>
          <w:tcPr>
            <w:tcW w:w="3335" w:type="dxa"/>
            <w:tcBorders>
              <w:bottom w:val="single" w:sz="4" w:space="0" w:color="auto"/>
            </w:tcBorders>
            <w:noWrap/>
            <w:vAlign w:val="bottom"/>
            <w:hideMark/>
          </w:tcPr>
          <w:p w:rsidR="004D3F0C" w:rsidRDefault="004D3F0C" w:rsidP="004D3F0C">
            <w:pPr>
              <w:ind w:left="-70" w:firstLine="70"/>
              <w:rPr>
                <w:rFonts w:cs="Times New Roman"/>
                <w:b/>
                <w:bCs/>
                <w:color w:val="000000"/>
                <w:lang w:val="nb-NO" w:eastAsia="nb-NO"/>
              </w:rPr>
            </w:pPr>
            <w:r>
              <w:rPr>
                <w:b/>
                <w:bCs/>
                <w:color w:val="000000"/>
                <w:lang w:val="nb-NO" w:eastAsia="nb-NO"/>
              </w:rPr>
              <w:t>email</w:t>
            </w: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Etienne </w:t>
            </w:r>
            <w:proofErr w:type="spellStart"/>
            <w:r w:rsidRPr="004D3F0C">
              <w:rPr>
                <w:color w:val="000000"/>
                <w:sz w:val="20"/>
                <w:szCs w:val="20"/>
                <w:lang w:val="nb-NO" w:eastAsia="nb-NO"/>
              </w:rPr>
              <w:t>Krug</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Director, Violence and Injury Prevention and Disability</w:t>
            </w:r>
            <w:r>
              <w:rPr>
                <w:color w:val="000000"/>
                <w:sz w:val="20"/>
                <w:szCs w:val="20"/>
                <w:lang w:val="en-US" w:eastAsia="nb-NO"/>
              </w:rPr>
              <w:t>, WHO</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10" w:history="1">
              <w:r w:rsidRPr="004D3F0C">
                <w:rPr>
                  <w:rStyle w:val="Hyperlink"/>
                  <w:color w:val="000000"/>
                  <w:sz w:val="20"/>
                  <w:szCs w:val="20"/>
                  <w:lang w:val="nb-NO" w:eastAsia="nb-NO"/>
                </w:rPr>
                <w:t>krug@who.in</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Ragnhild Mathisen</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rsidP="004D3F0C">
            <w:pPr>
              <w:rPr>
                <w:rFonts w:cs="Times New Roman"/>
                <w:color w:val="000000"/>
                <w:sz w:val="20"/>
                <w:szCs w:val="20"/>
                <w:lang w:val="en-US" w:eastAsia="nb-NO"/>
              </w:rPr>
            </w:pPr>
            <w:r w:rsidRPr="004D3F0C">
              <w:rPr>
                <w:color w:val="000000"/>
                <w:sz w:val="20"/>
                <w:szCs w:val="20"/>
                <w:lang w:val="en-US" w:eastAsia="nb-NO"/>
              </w:rPr>
              <w:t>Deputy Minister</w:t>
            </w:r>
            <w:r w:rsidRPr="004D3F0C">
              <w:rPr>
                <w:color w:val="000000"/>
                <w:sz w:val="20"/>
                <w:szCs w:val="20"/>
                <w:lang w:val="en-US" w:eastAsia="nb-NO"/>
              </w:rPr>
              <w:t xml:space="preserve"> </w:t>
            </w:r>
            <w:r>
              <w:rPr>
                <w:color w:val="000000"/>
                <w:sz w:val="20"/>
                <w:szCs w:val="20"/>
                <w:lang w:val="en-US" w:eastAsia="nb-NO"/>
              </w:rPr>
              <w:t xml:space="preserve">, </w:t>
            </w:r>
            <w:r w:rsidRPr="004D3F0C">
              <w:rPr>
                <w:color w:val="000000"/>
                <w:sz w:val="20"/>
                <w:szCs w:val="20"/>
                <w:lang w:val="en-US" w:eastAsia="nb-NO"/>
              </w:rPr>
              <w:t>Min</w:t>
            </w:r>
            <w:r w:rsidRPr="004D3F0C">
              <w:rPr>
                <w:color w:val="000000"/>
                <w:sz w:val="20"/>
                <w:szCs w:val="20"/>
                <w:lang w:val="en-US" w:eastAsia="nb-NO"/>
              </w:rPr>
              <w:t>.</w:t>
            </w:r>
            <w:r>
              <w:rPr>
                <w:color w:val="000000"/>
                <w:sz w:val="20"/>
                <w:szCs w:val="20"/>
                <w:lang w:val="en-US" w:eastAsia="nb-NO"/>
              </w:rPr>
              <w:t xml:space="preserve"> of Health and Care Services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 xml:space="preserve">Eric </w:t>
            </w:r>
            <w:proofErr w:type="spellStart"/>
            <w:r w:rsidRPr="004D3F0C">
              <w:rPr>
                <w:color w:val="000000"/>
                <w:sz w:val="20"/>
                <w:szCs w:val="20"/>
                <w:lang w:val="en-US" w:eastAsia="nb-NO"/>
              </w:rPr>
              <w:t>Goosby</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Ambassa</w:t>
            </w:r>
            <w:r w:rsidRPr="004D3F0C">
              <w:rPr>
                <w:color w:val="000000"/>
                <w:sz w:val="20"/>
                <w:szCs w:val="20"/>
                <w:lang w:val="en-US" w:eastAsia="nb-NO"/>
              </w:rPr>
              <w:t>d</w:t>
            </w:r>
            <w:r w:rsidRPr="004D3F0C">
              <w:rPr>
                <w:color w:val="000000"/>
                <w:sz w:val="20"/>
                <w:szCs w:val="20"/>
                <w:lang w:val="en-US" w:eastAsia="nb-NO"/>
              </w:rPr>
              <w:t>or</w:t>
            </w:r>
            <w:r w:rsidRPr="004D3F0C">
              <w:rPr>
                <w:color w:val="000000"/>
                <w:sz w:val="20"/>
                <w:szCs w:val="20"/>
                <w:lang w:val="en-US" w:eastAsia="nb-NO"/>
              </w:rPr>
              <w:t>,</w:t>
            </w:r>
            <w:r w:rsidRPr="004D3F0C">
              <w:rPr>
                <w:color w:val="000000"/>
                <w:sz w:val="20"/>
                <w:szCs w:val="20"/>
                <w:lang w:val="en-US" w:eastAsia="nb-NO"/>
              </w:rPr>
              <w:t xml:space="preserve"> Office of the U.S. Global AIDS Coordinator</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hyperlink r:id="rId11" w:history="1">
              <w:r w:rsidRPr="004D3F0C">
                <w:rPr>
                  <w:rStyle w:val="Hyperlink"/>
                  <w:color w:val="000000"/>
                  <w:sz w:val="20"/>
                  <w:szCs w:val="20"/>
                  <w:lang w:val="en-US" w:eastAsia="nb-NO"/>
                </w:rPr>
                <w:t>GoosbyE@state.gov</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Ann </w:t>
            </w:r>
            <w:proofErr w:type="spellStart"/>
            <w:r w:rsidRPr="004D3F0C">
              <w:rPr>
                <w:color w:val="000000"/>
                <w:sz w:val="20"/>
                <w:szCs w:val="20"/>
                <w:lang w:val="nb-NO" w:eastAsia="nb-NO"/>
              </w:rPr>
              <w:t>Gavaghan</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Office of the U.S. Global AIDS Coordinator</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12" w:history="1">
              <w:r w:rsidRPr="004D3F0C">
                <w:rPr>
                  <w:rStyle w:val="Hyperlink"/>
                  <w:color w:val="000000"/>
                  <w:sz w:val="20"/>
                  <w:szCs w:val="20"/>
                  <w:lang w:val="nb-NO" w:eastAsia="nb-NO"/>
                </w:rPr>
                <w:t>gavaghanA@state.gov</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Rachel </w:t>
            </w:r>
            <w:proofErr w:type="spellStart"/>
            <w:r w:rsidRPr="004D3F0C">
              <w:rPr>
                <w:color w:val="000000"/>
                <w:sz w:val="20"/>
                <w:szCs w:val="20"/>
                <w:lang w:val="nb-NO" w:eastAsia="nb-NO"/>
              </w:rPr>
              <w:t>Tulchin</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Policy Advisor, Office of Global Women's Issues, U.S. Dep</w:t>
            </w:r>
            <w:r>
              <w:rPr>
                <w:color w:val="000000"/>
                <w:sz w:val="20"/>
                <w:szCs w:val="20"/>
                <w:lang w:val="en-US" w:eastAsia="nb-NO"/>
              </w:rPr>
              <w:t>artment</w:t>
            </w:r>
            <w:r w:rsidRPr="004D3F0C">
              <w:rPr>
                <w:color w:val="000000"/>
                <w:sz w:val="20"/>
                <w:szCs w:val="20"/>
                <w:lang w:val="en-US" w:eastAsia="nb-NO"/>
              </w:rPr>
              <w:t xml:space="preserve"> of State</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13" w:history="1">
              <w:r w:rsidRPr="004D3F0C">
                <w:rPr>
                  <w:rStyle w:val="Hyperlink"/>
                  <w:color w:val="000000"/>
                  <w:sz w:val="20"/>
                  <w:szCs w:val="20"/>
                  <w:lang w:val="nb-NO" w:eastAsia="nb-NO"/>
                </w:rPr>
                <w:t>tulchinre@state.gov</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Inger </w:t>
            </w:r>
            <w:proofErr w:type="spellStart"/>
            <w:r w:rsidRPr="004D3F0C">
              <w:rPr>
                <w:color w:val="000000"/>
                <w:sz w:val="20"/>
                <w:szCs w:val="20"/>
                <w:lang w:val="nb-NO" w:eastAsia="nb-NO"/>
              </w:rPr>
              <w:t>Skjelsbæk</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Deputy Director and Senior Researcher at PRIO, Norway</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14" w:history="1">
              <w:r w:rsidRPr="004D3F0C">
                <w:rPr>
                  <w:rStyle w:val="Hyperlink"/>
                  <w:color w:val="000000"/>
                  <w:sz w:val="20"/>
                  <w:szCs w:val="20"/>
                  <w:lang w:val="nb-NO" w:eastAsia="nb-NO"/>
                </w:rPr>
                <w:t>Inger@prio.no</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 xml:space="preserve">Sigrun </w:t>
            </w:r>
            <w:proofErr w:type="spellStart"/>
            <w:r w:rsidRPr="004D3F0C">
              <w:rPr>
                <w:sz w:val="20"/>
                <w:szCs w:val="20"/>
                <w:lang w:val="nb-NO" w:eastAsia="nb-NO"/>
              </w:rPr>
              <w:t>Møgedal</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Senior adviser, Norwegian Knowledge Centre for Health Services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15" w:history="1">
              <w:r w:rsidRPr="004D3F0C">
                <w:rPr>
                  <w:rStyle w:val="Hyperlink"/>
                  <w:color w:val="000000"/>
                  <w:sz w:val="20"/>
                  <w:szCs w:val="20"/>
                  <w:lang w:val="nb-NO" w:eastAsia="nb-NO"/>
                </w:rPr>
                <w:t>Sigrun.Mogedal@kunnskapssenteret.no</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proofErr w:type="spellStart"/>
            <w:r w:rsidRPr="004D3F0C">
              <w:rPr>
                <w:color w:val="000000"/>
                <w:sz w:val="20"/>
                <w:szCs w:val="20"/>
                <w:lang w:val="nb-NO" w:eastAsia="nb-NO"/>
              </w:rPr>
              <w:t>Nduku</w:t>
            </w:r>
            <w:proofErr w:type="spellEnd"/>
            <w:r w:rsidRPr="004D3F0C">
              <w:rPr>
                <w:color w:val="000000"/>
                <w:sz w:val="20"/>
                <w:szCs w:val="20"/>
                <w:lang w:val="nb-NO" w:eastAsia="nb-NO"/>
              </w:rPr>
              <w:t xml:space="preserve"> </w:t>
            </w:r>
            <w:proofErr w:type="spellStart"/>
            <w:r w:rsidRPr="004D3F0C">
              <w:rPr>
                <w:color w:val="000000"/>
                <w:sz w:val="20"/>
                <w:szCs w:val="20"/>
                <w:lang w:val="nb-NO" w:eastAsia="nb-NO"/>
              </w:rPr>
              <w:t>Kilonzo</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Director Liverpool VCT, Care &amp; Treatment, Nairobi, Kenya</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16" w:history="1">
              <w:r w:rsidRPr="004D3F0C">
                <w:rPr>
                  <w:rStyle w:val="Hyperlink"/>
                  <w:color w:val="000000"/>
                  <w:sz w:val="20"/>
                  <w:szCs w:val="20"/>
                  <w:lang w:val="nb-NO" w:eastAsia="nb-NO"/>
                </w:rPr>
                <w:t>Nduku@liverpoolvct.org</w:t>
              </w:r>
            </w:hyperlink>
            <w:r w:rsidRPr="004D3F0C">
              <w:rPr>
                <w:color w:val="000000"/>
                <w:sz w:val="20"/>
                <w:szCs w:val="20"/>
                <w:lang w:val="nb-NO" w:eastAsia="nb-NO"/>
              </w:rPr>
              <w:t xml:space="preserve">  </w:t>
            </w: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Anthony </w:t>
            </w:r>
            <w:proofErr w:type="spellStart"/>
            <w:r w:rsidRPr="004D3F0C">
              <w:rPr>
                <w:color w:val="000000"/>
                <w:sz w:val="20"/>
                <w:szCs w:val="20"/>
                <w:lang w:val="nb-NO" w:eastAsia="nb-NO"/>
              </w:rPr>
              <w:t>Zwi</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rsidP="004D3F0C">
            <w:pPr>
              <w:rPr>
                <w:rFonts w:cs="Times New Roman"/>
                <w:color w:val="000000"/>
                <w:sz w:val="20"/>
                <w:szCs w:val="20"/>
                <w:lang w:val="en-US" w:eastAsia="nb-NO"/>
              </w:rPr>
            </w:pPr>
            <w:r>
              <w:rPr>
                <w:color w:val="000000"/>
                <w:sz w:val="20"/>
                <w:szCs w:val="20"/>
                <w:lang w:val="en-US" w:eastAsia="nb-NO"/>
              </w:rPr>
              <w:t>Professor</w:t>
            </w:r>
            <w:r w:rsidRPr="004D3F0C">
              <w:rPr>
                <w:color w:val="000000"/>
                <w:sz w:val="20"/>
                <w:szCs w:val="20"/>
                <w:lang w:val="en-US" w:eastAsia="nb-NO"/>
              </w:rPr>
              <w:t xml:space="preserve"> </w:t>
            </w:r>
            <w:r>
              <w:rPr>
                <w:color w:val="000000"/>
                <w:sz w:val="20"/>
                <w:szCs w:val="20"/>
                <w:lang w:val="en-US" w:eastAsia="nb-NO"/>
              </w:rPr>
              <w:t xml:space="preserve">, </w:t>
            </w:r>
            <w:r w:rsidRPr="004D3F0C">
              <w:rPr>
                <w:color w:val="000000"/>
                <w:sz w:val="20"/>
                <w:szCs w:val="20"/>
                <w:lang w:val="en-US" w:eastAsia="nb-NO"/>
              </w:rPr>
              <w:t>University of New South Wales</w:t>
            </w:r>
            <w:r>
              <w:rPr>
                <w:color w:val="000000"/>
                <w:sz w:val="20"/>
                <w:szCs w:val="20"/>
                <w:lang w:val="en-US" w:eastAsia="nb-NO"/>
              </w:rPr>
              <w:t>,</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 xml:space="preserve"> </w:t>
            </w:r>
            <w:hyperlink r:id="rId17" w:history="1">
              <w:r w:rsidRPr="004D3F0C">
                <w:rPr>
                  <w:rStyle w:val="Hyperlink"/>
                  <w:color w:val="000000"/>
                  <w:sz w:val="20"/>
                  <w:szCs w:val="20"/>
                  <w:lang w:val="en-US" w:eastAsia="nb-NO"/>
                </w:rPr>
                <w:t>a.zwi@unsw.edu.au</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Michele </w:t>
            </w:r>
            <w:proofErr w:type="spellStart"/>
            <w:r w:rsidRPr="004D3F0C">
              <w:rPr>
                <w:color w:val="000000"/>
                <w:sz w:val="20"/>
                <w:szCs w:val="20"/>
                <w:lang w:val="nb-NO" w:eastAsia="nb-NO"/>
              </w:rPr>
              <w:t>Moloney</w:t>
            </w:r>
            <w:proofErr w:type="spellEnd"/>
            <w:r w:rsidRPr="004D3F0C">
              <w:rPr>
                <w:color w:val="000000"/>
                <w:sz w:val="20"/>
                <w:szCs w:val="20"/>
                <w:lang w:val="nb-NO" w:eastAsia="nb-NO"/>
              </w:rPr>
              <w:t xml:space="preserve"> Kitts </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Managing Director of Together for Girls</w:t>
            </w:r>
            <w:r>
              <w:rPr>
                <w:color w:val="000000"/>
                <w:sz w:val="20"/>
                <w:szCs w:val="20"/>
                <w:lang w:val="en-US" w:eastAsia="nb-NO"/>
              </w:rPr>
              <w:t>, UNAIDS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18" w:history="1">
              <w:r w:rsidRPr="004D3F0C">
                <w:rPr>
                  <w:rStyle w:val="Hyperlink"/>
                  <w:color w:val="000000"/>
                  <w:sz w:val="20"/>
                  <w:szCs w:val="20"/>
                  <w:lang w:val="nb-NO" w:eastAsia="nb-NO"/>
                </w:rPr>
                <w:t>michele@togetherforgirls.org</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Maren </w:t>
            </w:r>
            <w:proofErr w:type="spellStart"/>
            <w:r w:rsidRPr="004D3F0C">
              <w:rPr>
                <w:color w:val="000000"/>
                <w:sz w:val="20"/>
                <w:szCs w:val="20"/>
                <w:lang w:val="nb-NO" w:eastAsia="nb-NO"/>
              </w:rPr>
              <w:t>Skaseth</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rsidP="004D3F0C">
            <w:pPr>
              <w:rPr>
                <w:rFonts w:cs="Times New Roman"/>
                <w:color w:val="000000"/>
                <w:sz w:val="20"/>
                <w:szCs w:val="20"/>
                <w:lang w:val="en-US" w:eastAsia="nb-NO"/>
              </w:rPr>
            </w:pPr>
            <w:r>
              <w:rPr>
                <w:color w:val="000000"/>
                <w:sz w:val="20"/>
                <w:szCs w:val="20"/>
                <w:lang w:val="en-US" w:eastAsia="nb-NO"/>
              </w:rPr>
              <w:t>Director of Department</w:t>
            </w:r>
            <w:r>
              <w:rPr>
                <w:color w:val="000000"/>
                <w:sz w:val="20"/>
                <w:szCs w:val="20"/>
                <w:lang w:val="en-US" w:eastAsia="nb-NO"/>
              </w:rPr>
              <w:t>,</w:t>
            </w:r>
            <w:r w:rsidRPr="004D3F0C">
              <w:rPr>
                <w:color w:val="000000"/>
                <w:sz w:val="20"/>
                <w:szCs w:val="20"/>
                <w:lang w:val="en-US" w:eastAsia="nb-NO"/>
              </w:rPr>
              <w:t xml:space="preserve"> </w:t>
            </w:r>
            <w:r w:rsidRPr="004D3F0C">
              <w:rPr>
                <w:color w:val="000000"/>
                <w:sz w:val="20"/>
                <w:szCs w:val="20"/>
                <w:lang w:val="en-US" w:eastAsia="nb-NO"/>
              </w:rPr>
              <w:t>Min. of Health and Care Services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 xml:space="preserve">Alexander </w:t>
            </w:r>
            <w:proofErr w:type="spellStart"/>
            <w:r w:rsidRPr="004D3F0C">
              <w:rPr>
                <w:sz w:val="20"/>
                <w:szCs w:val="20"/>
                <w:lang w:val="nb-NO" w:eastAsia="nb-NO"/>
              </w:rPr>
              <w:t>Butchart</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Coordinator, Prevention of Violence</w:t>
            </w:r>
            <w:r>
              <w:rPr>
                <w:color w:val="000000"/>
                <w:sz w:val="20"/>
                <w:szCs w:val="20"/>
                <w:lang w:val="en-US" w:eastAsia="nb-NO"/>
              </w:rPr>
              <w:t>, WHO</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19" w:history="1">
              <w:r w:rsidRPr="004D3F0C">
                <w:rPr>
                  <w:rStyle w:val="Hyperlink"/>
                  <w:color w:val="000000"/>
                  <w:sz w:val="20"/>
                  <w:szCs w:val="20"/>
                  <w:lang w:val="nb-NO" w:eastAsia="nb-NO"/>
                </w:rPr>
                <w:t>butcharta@who.int</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lastRenderedPageBreak/>
              <w:t>Claudia Garcia-</w:t>
            </w:r>
            <w:proofErr w:type="spellStart"/>
            <w:r w:rsidRPr="004D3F0C">
              <w:rPr>
                <w:color w:val="000000"/>
                <w:sz w:val="20"/>
                <w:szCs w:val="20"/>
                <w:lang w:val="nb-NO" w:eastAsia="nb-NO"/>
              </w:rPr>
              <w:t>Moreno</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rsidP="004D3F0C">
            <w:pPr>
              <w:rPr>
                <w:rFonts w:cs="Times New Roman"/>
                <w:color w:val="000000"/>
                <w:sz w:val="20"/>
                <w:szCs w:val="20"/>
                <w:lang w:val="nb-NO" w:eastAsia="nb-NO"/>
              </w:rPr>
            </w:pPr>
            <w:proofErr w:type="spellStart"/>
            <w:r>
              <w:rPr>
                <w:color w:val="000000"/>
                <w:sz w:val="20"/>
                <w:szCs w:val="20"/>
                <w:lang w:val="nb-NO" w:eastAsia="nb-NO"/>
              </w:rPr>
              <w:t>T</w:t>
            </w:r>
            <w:r w:rsidRPr="004D3F0C">
              <w:rPr>
                <w:color w:val="000000"/>
                <w:sz w:val="20"/>
                <w:szCs w:val="20"/>
                <w:lang w:val="nb-NO" w:eastAsia="nb-NO"/>
              </w:rPr>
              <w:t>eamleader</w:t>
            </w:r>
            <w:proofErr w:type="spellEnd"/>
            <w:r>
              <w:rPr>
                <w:color w:val="000000"/>
                <w:sz w:val="20"/>
                <w:szCs w:val="20"/>
                <w:lang w:val="nb-NO" w:eastAsia="nb-NO"/>
              </w:rPr>
              <w:t>,</w:t>
            </w:r>
            <w:r w:rsidRPr="004D3F0C">
              <w:rPr>
                <w:color w:val="000000"/>
                <w:sz w:val="20"/>
                <w:szCs w:val="20"/>
                <w:lang w:val="nb-NO" w:eastAsia="nb-NO"/>
              </w:rPr>
              <w:t xml:space="preserve"> </w:t>
            </w:r>
            <w:r w:rsidRPr="004D3F0C">
              <w:rPr>
                <w:color w:val="000000"/>
                <w:sz w:val="20"/>
                <w:szCs w:val="20"/>
                <w:lang w:val="nb-NO" w:eastAsia="nb-NO"/>
              </w:rPr>
              <w:t xml:space="preserve">HRP/RHR, </w:t>
            </w:r>
            <w:r>
              <w:rPr>
                <w:color w:val="000000"/>
                <w:sz w:val="20"/>
                <w:szCs w:val="20"/>
                <w:lang w:val="nb-NO" w:eastAsia="nb-NO"/>
              </w:rPr>
              <w:t>WHO</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20" w:history="1">
              <w:r w:rsidRPr="004D3F0C">
                <w:rPr>
                  <w:rStyle w:val="Hyperlink"/>
                  <w:color w:val="000000"/>
                  <w:sz w:val="20"/>
                  <w:szCs w:val="20"/>
                  <w:lang w:val="nb-NO" w:eastAsia="nb-NO"/>
                </w:rPr>
                <w:t>garciamorenoc@who.int</w:t>
              </w:r>
            </w:hyperlink>
            <w:r w:rsidRPr="004D3F0C">
              <w:rPr>
                <w:color w:val="000000"/>
                <w:sz w:val="20"/>
                <w:szCs w:val="20"/>
                <w:lang w:val="nb-NO" w:eastAsia="nb-NO"/>
              </w:rPr>
              <w:t xml:space="preserve"> </w:t>
            </w: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Evy Dvergsdal</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MSF Norway</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21" w:history="1">
              <w:r w:rsidRPr="004D3F0C">
                <w:rPr>
                  <w:rStyle w:val="Hyperlink"/>
                  <w:color w:val="000000"/>
                  <w:sz w:val="20"/>
                  <w:szCs w:val="20"/>
                  <w:lang w:val="nb-NO" w:eastAsia="nb-NO"/>
                </w:rPr>
                <w:t>edvergsdal@hotmail.com</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Helga Fogstad</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rsidP="004D3F0C">
            <w:pPr>
              <w:rPr>
                <w:rFonts w:cs="Times New Roman"/>
                <w:color w:val="000000"/>
                <w:sz w:val="20"/>
                <w:szCs w:val="20"/>
                <w:lang w:val="en-US" w:eastAsia="nb-NO"/>
              </w:rPr>
            </w:pPr>
            <w:r>
              <w:rPr>
                <w:color w:val="000000"/>
                <w:sz w:val="20"/>
                <w:szCs w:val="20"/>
                <w:lang w:val="en-US" w:eastAsia="nb-NO"/>
              </w:rPr>
              <w:t>H</w:t>
            </w:r>
            <w:r w:rsidRPr="004D3F0C">
              <w:rPr>
                <w:color w:val="000000"/>
                <w:sz w:val="20"/>
                <w:szCs w:val="20"/>
                <w:lang w:val="en-US" w:eastAsia="nb-NO"/>
              </w:rPr>
              <w:t>ead of health section</w:t>
            </w:r>
            <w:r>
              <w:rPr>
                <w:color w:val="000000"/>
                <w:sz w:val="20"/>
                <w:szCs w:val="20"/>
                <w:lang w:val="en-US" w:eastAsia="nb-NO"/>
              </w:rPr>
              <w:t>,</w:t>
            </w:r>
            <w:r w:rsidRPr="004D3F0C">
              <w:rPr>
                <w:color w:val="000000"/>
                <w:sz w:val="20"/>
                <w:szCs w:val="20"/>
                <w:lang w:val="en-US" w:eastAsia="nb-NO"/>
              </w:rPr>
              <w:t xml:space="preserve"> </w:t>
            </w:r>
            <w:proofErr w:type="spellStart"/>
            <w:r w:rsidRPr="004D3F0C">
              <w:rPr>
                <w:color w:val="000000"/>
                <w:sz w:val="20"/>
                <w:szCs w:val="20"/>
                <w:lang w:val="en-US" w:eastAsia="nb-NO"/>
              </w:rPr>
              <w:t>Norad</w:t>
            </w:r>
            <w:proofErr w:type="spellEnd"/>
            <w:r w:rsidRPr="004D3F0C">
              <w:rPr>
                <w:color w:val="000000"/>
                <w:sz w:val="20"/>
                <w:szCs w:val="20"/>
                <w:lang w:val="en-US" w:eastAsia="nb-NO"/>
              </w:rPr>
              <w:t xml:space="preserve">, </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22" w:history="1">
              <w:r w:rsidRPr="004D3F0C">
                <w:rPr>
                  <w:rStyle w:val="Hyperlink"/>
                  <w:color w:val="000000"/>
                  <w:sz w:val="20"/>
                  <w:szCs w:val="20"/>
                  <w:lang w:val="nb-NO" w:eastAsia="nb-NO"/>
                </w:rPr>
                <w:t>hefo@norad.no</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sidRPr="004D3F0C">
              <w:rPr>
                <w:color w:val="000000"/>
                <w:sz w:val="20"/>
                <w:szCs w:val="20"/>
                <w:lang w:val="nb-NO" w:eastAsia="nb-NO"/>
              </w:rPr>
              <w:t xml:space="preserve">Ann </w:t>
            </w:r>
            <w:proofErr w:type="spellStart"/>
            <w:r w:rsidRPr="004D3F0C">
              <w:rPr>
                <w:color w:val="000000"/>
                <w:sz w:val="20"/>
                <w:szCs w:val="20"/>
                <w:lang w:val="nb-NO" w:eastAsia="nb-NO"/>
              </w:rPr>
              <w:t>Kern</w:t>
            </w:r>
            <w:proofErr w:type="spellEnd"/>
            <w:r w:rsidRPr="004D3F0C">
              <w:rPr>
                <w:color w:val="000000"/>
                <w:sz w:val="20"/>
                <w:szCs w:val="20"/>
                <w:lang w:val="nb-NO" w:eastAsia="nb-NO"/>
              </w:rPr>
              <w:t>-Godal</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r>
              <w:rPr>
                <w:rFonts w:cs="Calibri"/>
                <w:sz w:val="20"/>
                <w:szCs w:val="20"/>
                <w:lang w:val="en-GB"/>
              </w:rPr>
              <w:t>Consultant</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ascii="Tahoma" w:hAnsi="Tahoma" w:cs="Tahoma"/>
                <w:color w:val="000000"/>
                <w:sz w:val="20"/>
                <w:szCs w:val="20"/>
                <w:lang w:val="nb-NO" w:eastAsia="nb-NO"/>
              </w:rPr>
            </w:pPr>
            <w:hyperlink r:id="rId23" w:history="1">
              <w:r w:rsidRPr="004D3F0C">
                <w:rPr>
                  <w:rStyle w:val="Hyperlink"/>
                  <w:rFonts w:cs="Tahoma"/>
                  <w:color w:val="000000"/>
                  <w:sz w:val="20"/>
                  <w:szCs w:val="20"/>
                  <w:lang w:val="en-US" w:eastAsia="nb-NO"/>
                </w:rPr>
                <w:t>ann@godal.com</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 xml:space="preserve">Avni Amin </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 xml:space="preserve">Technical </w:t>
            </w:r>
            <w:proofErr w:type="spellStart"/>
            <w:r w:rsidRPr="004D3F0C">
              <w:rPr>
                <w:color w:val="000000"/>
                <w:sz w:val="20"/>
                <w:szCs w:val="20"/>
                <w:lang w:val="en-US" w:eastAsia="nb-NO"/>
              </w:rPr>
              <w:t>Officer,</w:t>
            </w:r>
            <w:r>
              <w:rPr>
                <w:color w:val="000000"/>
                <w:sz w:val="20"/>
                <w:szCs w:val="20"/>
                <w:lang w:val="en-US" w:eastAsia="nb-NO"/>
              </w:rPr>
              <w:t>HRP</w:t>
            </w:r>
            <w:proofErr w:type="spellEnd"/>
            <w:r>
              <w:rPr>
                <w:color w:val="000000"/>
                <w:sz w:val="20"/>
                <w:szCs w:val="20"/>
                <w:lang w:val="en-US" w:eastAsia="nb-NO"/>
              </w:rPr>
              <w:t>/ RHR,</w:t>
            </w:r>
            <w:r w:rsidRPr="004D3F0C">
              <w:rPr>
                <w:color w:val="000000"/>
                <w:sz w:val="20"/>
                <w:szCs w:val="20"/>
                <w:lang w:val="en-US" w:eastAsia="nb-NO"/>
              </w:rPr>
              <w:t xml:space="preserve"> WHO</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24" w:history="1">
              <w:r w:rsidRPr="004D3F0C">
                <w:rPr>
                  <w:rStyle w:val="Hyperlink"/>
                  <w:color w:val="000000"/>
                  <w:sz w:val="20"/>
                  <w:szCs w:val="20"/>
                  <w:lang w:val="nb-NO" w:eastAsia="nb-NO"/>
                </w:rPr>
                <w:t>amina@who.int</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 xml:space="preserve">Berit </w:t>
            </w:r>
            <w:proofErr w:type="spellStart"/>
            <w:r w:rsidRPr="004D3F0C">
              <w:rPr>
                <w:sz w:val="20"/>
                <w:szCs w:val="20"/>
                <w:lang w:val="nb-NO" w:eastAsia="nb-NO"/>
              </w:rPr>
              <w:t>Kieselbach</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rsidP="004D3F0C">
            <w:pPr>
              <w:rPr>
                <w:rFonts w:cs="Times New Roman"/>
                <w:color w:val="000000"/>
                <w:sz w:val="20"/>
                <w:szCs w:val="20"/>
                <w:lang w:val="en-US" w:eastAsia="nb-NO"/>
              </w:rPr>
            </w:pPr>
            <w:r w:rsidRPr="004D3F0C">
              <w:rPr>
                <w:color w:val="000000"/>
                <w:sz w:val="20"/>
                <w:szCs w:val="20"/>
                <w:lang w:val="en-US" w:eastAsia="nb-NO"/>
              </w:rPr>
              <w:t>Technical Officer, Prevention of Violence</w:t>
            </w:r>
            <w:r>
              <w:rPr>
                <w:color w:val="000000"/>
                <w:sz w:val="20"/>
                <w:szCs w:val="20"/>
                <w:lang w:val="en-US" w:eastAsia="nb-NO"/>
              </w:rPr>
              <w:t>,</w:t>
            </w:r>
            <w:r w:rsidRPr="004D3F0C">
              <w:rPr>
                <w:color w:val="000000"/>
                <w:sz w:val="20"/>
                <w:szCs w:val="20"/>
                <w:lang w:val="en-US" w:eastAsia="nb-NO"/>
              </w:rPr>
              <w:t xml:space="preserve"> </w:t>
            </w:r>
            <w:r w:rsidRPr="004D3F0C">
              <w:rPr>
                <w:color w:val="000000"/>
                <w:sz w:val="20"/>
                <w:szCs w:val="20"/>
                <w:lang w:val="en-US" w:eastAsia="nb-NO"/>
              </w:rPr>
              <w:t xml:space="preserve">WHO, </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25" w:history="1">
              <w:r w:rsidRPr="004D3F0C">
                <w:rPr>
                  <w:rStyle w:val="Hyperlink"/>
                  <w:color w:val="000000"/>
                  <w:sz w:val="20"/>
                  <w:szCs w:val="20"/>
                  <w:lang w:val="nb-NO" w:eastAsia="nb-NO"/>
                </w:rPr>
                <w:t>kieselbachb@who.int</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b/>
                <w:bCs/>
                <w:sz w:val="20"/>
                <w:szCs w:val="20"/>
                <w:lang w:val="nb-NO" w:eastAsia="nb-NO"/>
              </w:rPr>
            </w:pPr>
            <w:proofErr w:type="spellStart"/>
            <w:r w:rsidRPr="004D3F0C">
              <w:rPr>
                <w:b/>
                <w:bCs/>
                <w:sz w:val="20"/>
                <w:szCs w:val="20"/>
                <w:lang w:val="nb-NO" w:eastAsia="nb-NO"/>
              </w:rPr>
              <w:t>Observers</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Calibri"/>
                <w:sz w:val="20"/>
                <w:szCs w:val="20"/>
                <w:lang w:val="en-GB"/>
              </w:rPr>
            </w:pPr>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 xml:space="preserve">Joar </w:t>
            </w:r>
            <w:proofErr w:type="spellStart"/>
            <w:r w:rsidRPr="004D3F0C">
              <w:rPr>
                <w:sz w:val="20"/>
                <w:szCs w:val="20"/>
                <w:lang w:val="nb-NO" w:eastAsia="nb-NO"/>
              </w:rPr>
              <w:t>Svanemyr</w:t>
            </w:r>
            <w:proofErr w:type="spellEnd"/>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Pr>
                <w:color w:val="000000"/>
                <w:sz w:val="20"/>
                <w:szCs w:val="20"/>
                <w:lang w:val="nb-NO" w:eastAsia="nb-NO"/>
              </w:rPr>
              <w:t xml:space="preserve">Senior adviser, </w:t>
            </w:r>
            <w:r w:rsidRPr="004D3F0C">
              <w:rPr>
                <w:color w:val="000000"/>
                <w:sz w:val="20"/>
                <w:szCs w:val="20"/>
                <w:lang w:val="nb-NO" w:eastAsia="nb-NO"/>
              </w:rPr>
              <w:t>Norad</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26" w:history="1">
              <w:r w:rsidRPr="004D3F0C">
                <w:rPr>
                  <w:rStyle w:val="Hyperlink"/>
                  <w:color w:val="000000"/>
                  <w:sz w:val="20"/>
                  <w:szCs w:val="20"/>
                  <w:lang w:val="nb-NO" w:eastAsia="nb-NO"/>
                </w:rPr>
                <w:t>jsva@norad.no</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Benedikte-Louise Alveberg</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en-US" w:eastAsia="nb-NO"/>
              </w:rPr>
            </w:pPr>
            <w:r w:rsidRPr="004D3F0C">
              <w:rPr>
                <w:color w:val="000000"/>
                <w:sz w:val="20"/>
                <w:szCs w:val="20"/>
                <w:lang w:val="en-US" w:eastAsia="nb-NO"/>
              </w:rPr>
              <w:t>Senior adviser, Min.</w:t>
            </w:r>
            <w:r>
              <w:rPr>
                <w:color w:val="000000"/>
                <w:sz w:val="20"/>
                <w:szCs w:val="20"/>
                <w:lang w:val="en-US" w:eastAsia="nb-NO"/>
              </w:rPr>
              <w:t xml:space="preserve"> of Health and Care Services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hyperlink r:id="rId27" w:history="1">
              <w:r w:rsidRPr="004D3F0C">
                <w:rPr>
                  <w:rStyle w:val="Hyperlink"/>
                  <w:color w:val="000000"/>
                  <w:sz w:val="20"/>
                  <w:szCs w:val="20"/>
                  <w:lang w:val="nb-NO" w:eastAsia="nb-NO"/>
                </w:rPr>
                <w:t>Benedikte-Louise.Alveberg@hod.dep.no</w:t>
              </w:r>
            </w:hyperlink>
          </w:p>
        </w:tc>
      </w:tr>
      <w:tr w:rsidR="004D3F0C" w:rsidRPr="004D3F0C" w:rsidTr="004D3F0C">
        <w:trPr>
          <w:trHeight w:val="30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sz w:val="20"/>
                <w:szCs w:val="20"/>
                <w:lang w:val="nb-NO" w:eastAsia="nb-NO"/>
              </w:rPr>
            </w:pPr>
            <w:r w:rsidRPr="004D3F0C">
              <w:rPr>
                <w:sz w:val="20"/>
                <w:szCs w:val="20"/>
                <w:lang w:val="nb-NO" w:eastAsia="nb-NO"/>
              </w:rPr>
              <w:t>Monica Djupvik</w:t>
            </w:r>
          </w:p>
        </w:tc>
        <w:tc>
          <w:tcPr>
            <w:tcW w:w="4677"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00"/>
                <w:sz w:val="20"/>
                <w:szCs w:val="20"/>
                <w:lang w:val="nb-NO" w:eastAsia="nb-NO"/>
              </w:rPr>
            </w:pPr>
            <w:r>
              <w:rPr>
                <w:color w:val="000000"/>
                <w:sz w:val="20"/>
                <w:szCs w:val="20"/>
                <w:lang w:val="nb-NO" w:eastAsia="nb-NO"/>
              </w:rPr>
              <w:t xml:space="preserve">Senior adviser, </w:t>
            </w:r>
            <w:r w:rsidRPr="004D3F0C">
              <w:rPr>
                <w:color w:val="000000"/>
                <w:sz w:val="20"/>
                <w:szCs w:val="20"/>
                <w:lang w:val="nb-NO" w:eastAsia="nb-NO"/>
              </w:rPr>
              <w:t>Norad</w:t>
            </w:r>
          </w:p>
        </w:tc>
        <w:tc>
          <w:tcPr>
            <w:tcW w:w="3335" w:type="dxa"/>
            <w:tcBorders>
              <w:top w:val="single" w:sz="4" w:space="0" w:color="auto"/>
              <w:left w:val="single" w:sz="4" w:space="0" w:color="auto"/>
              <w:bottom w:val="single" w:sz="4" w:space="0" w:color="auto"/>
              <w:right w:val="single" w:sz="4" w:space="0" w:color="auto"/>
            </w:tcBorders>
            <w:noWrap/>
            <w:vAlign w:val="bottom"/>
            <w:hideMark/>
          </w:tcPr>
          <w:p w:rsidR="004D3F0C" w:rsidRPr="004D3F0C" w:rsidRDefault="004D3F0C">
            <w:pPr>
              <w:rPr>
                <w:rFonts w:cs="Times New Roman"/>
                <w:color w:val="0000FF"/>
                <w:sz w:val="20"/>
                <w:szCs w:val="20"/>
                <w:u w:val="single"/>
                <w:lang w:val="nb-NO" w:eastAsia="nb-NO"/>
              </w:rPr>
            </w:pPr>
            <w:hyperlink r:id="rId28" w:history="1">
              <w:r w:rsidRPr="004D3F0C">
                <w:rPr>
                  <w:rStyle w:val="Hyperlink"/>
                  <w:color w:val="000000"/>
                  <w:sz w:val="20"/>
                  <w:szCs w:val="20"/>
                  <w:lang w:val="nb-NO" w:eastAsia="nb-NO"/>
                </w:rPr>
                <w:t>mod@norad.no</w:t>
              </w:r>
            </w:hyperlink>
          </w:p>
        </w:tc>
      </w:tr>
    </w:tbl>
    <w:p w:rsidR="005C2719" w:rsidRPr="00BC377F" w:rsidRDefault="005C2719">
      <w:pPr>
        <w:rPr>
          <w:lang w:val="en-US"/>
        </w:rPr>
      </w:pPr>
      <w:bookmarkStart w:id="0" w:name="_GoBack"/>
      <w:bookmarkEnd w:id="0"/>
    </w:p>
    <w:sectPr w:rsidR="005C2719" w:rsidRPr="00BC377F" w:rsidSect="00712674">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83" w:rsidRDefault="000B6783" w:rsidP="007B5E12">
      <w:pPr>
        <w:spacing w:after="0" w:line="240" w:lineRule="auto"/>
      </w:pPr>
      <w:r>
        <w:separator/>
      </w:r>
    </w:p>
  </w:endnote>
  <w:endnote w:type="continuationSeparator" w:id="0">
    <w:p w:rsidR="000B6783" w:rsidRDefault="000B6783" w:rsidP="007B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48320"/>
      <w:docPartObj>
        <w:docPartGallery w:val="Page Numbers (Bottom of Page)"/>
        <w:docPartUnique/>
      </w:docPartObj>
    </w:sdtPr>
    <w:sdtEndPr>
      <w:rPr>
        <w:noProof/>
      </w:rPr>
    </w:sdtEndPr>
    <w:sdtContent>
      <w:p w:rsidR="00803C71" w:rsidRDefault="00844C10">
        <w:pPr>
          <w:pStyle w:val="Footer"/>
          <w:jc w:val="right"/>
        </w:pPr>
        <w:r>
          <w:fldChar w:fldCharType="begin"/>
        </w:r>
        <w:r w:rsidR="00803C71">
          <w:instrText xml:space="preserve"> PAGE   \* MERGEFORMAT </w:instrText>
        </w:r>
        <w:r>
          <w:fldChar w:fldCharType="separate"/>
        </w:r>
        <w:r w:rsidR="004D3F0C">
          <w:rPr>
            <w:noProof/>
          </w:rPr>
          <w:t>8</w:t>
        </w:r>
        <w:r>
          <w:rPr>
            <w:noProof/>
          </w:rPr>
          <w:fldChar w:fldCharType="end"/>
        </w:r>
      </w:p>
    </w:sdtContent>
  </w:sdt>
  <w:p w:rsidR="00803C71" w:rsidRDefault="0080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83" w:rsidRDefault="000B6783" w:rsidP="007B5E12">
      <w:pPr>
        <w:spacing w:after="0" w:line="240" w:lineRule="auto"/>
      </w:pPr>
      <w:r>
        <w:separator/>
      </w:r>
    </w:p>
  </w:footnote>
  <w:footnote w:type="continuationSeparator" w:id="0">
    <w:p w:rsidR="000B6783" w:rsidRDefault="000B6783" w:rsidP="007B5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7FFB"/>
    <w:multiLevelType w:val="hybridMultilevel"/>
    <w:tmpl w:val="418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32946"/>
    <w:multiLevelType w:val="hybridMultilevel"/>
    <w:tmpl w:val="53DC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B5BA3"/>
    <w:multiLevelType w:val="hybridMultilevel"/>
    <w:tmpl w:val="958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D57A4"/>
    <w:multiLevelType w:val="hybridMultilevel"/>
    <w:tmpl w:val="D3EEC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221088"/>
    <w:multiLevelType w:val="hybridMultilevel"/>
    <w:tmpl w:val="B692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01"/>
    <w:rsid w:val="00001580"/>
    <w:rsid w:val="000135F4"/>
    <w:rsid w:val="00030DC5"/>
    <w:rsid w:val="00036C22"/>
    <w:rsid w:val="00051A20"/>
    <w:rsid w:val="00055818"/>
    <w:rsid w:val="00062867"/>
    <w:rsid w:val="00082F32"/>
    <w:rsid w:val="000870A0"/>
    <w:rsid w:val="000A4B68"/>
    <w:rsid w:val="000B1C7D"/>
    <w:rsid w:val="000B6783"/>
    <w:rsid w:val="000E3375"/>
    <w:rsid w:val="000E7C3A"/>
    <w:rsid w:val="00121B9C"/>
    <w:rsid w:val="001239C0"/>
    <w:rsid w:val="001365FC"/>
    <w:rsid w:val="00140C90"/>
    <w:rsid w:val="00144B95"/>
    <w:rsid w:val="00154341"/>
    <w:rsid w:val="00155581"/>
    <w:rsid w:val="001804F9"/>
    <w:rsid w:val="00181F86"/>
    <w:rsid w:val="00186300"/>
    <w:rsid w:val="0019145D"/>
    <w:rsid w:val="001A4D99"/>
    <w:rsid w:val="001B3DD3"/>
    <w:rsid w:val="001B62A4"/>
    <w:rsid w:val="001C1C47"/>
    <w:rsid w:val="001C526A"/>
    <w:rsid w:val="001D2E8B"/>
    <w:rsid w:val="001D3008"/>
    <w:rsid w:val="001D6E3A"/>
    <w:rsid w:val="001E389F"/>
    <w:rsid w:val="001E5217"/>
    <w:rsid w:val="001F4AE9"/>
    <w:rsid w:val="0020035D"/>
    <w:rsid w:val="00207430"/>
    <w:rsid w:val="002219EF"/>
    <w:rsid w:val="002272CB"/>
    <w:rsid w:val="00235072"/>
    <w:rsid w:val="0024283C"/>
    <w:rsid w:val="00267508"/>
    <w:rsid w:val="00270D22"/>
    <w:rsid w:val="00292428"/>
    <w:rsid w:val="002A44E9"/>
    <w:rsid w:val="002A51B1"/>
    <w:rsid w:val="002A67FC"/>
    <w:rsid w:val="002B322F"/>
    <w:rsid w:val="002B4346"/>
    <w:rsid w:val="002B4F01"/>
    <w:rsid w:val="002E0508"/>
    <w:rsid w:val="002E3189"/>
    <w:rsid w:val="002E5BF6"/>
    <w:rsid w:val="002E7532"/>
    <w:rsid w:val="002F0300"/>
    <w:rsid w:val="002F1663"/>
    <w:rsid w:val="002F50A5"/>
    <w:rsid w:val="00300503"/>
    <w:rsid w:val="00303787"/>
    <w:rsid w:val="00315A48"/>
    <w:rsid w:val="00326DCB"/>
    <w:rsid w:val="003371C7"/>
    <w:rsid w:val="00374B3C"/>
    <w:rsid w:val="0038176D"/>
    <w:rsid w:val="0039386B"/>
    <w:rsid w:val="003A1EDA"/>
    <w:rsid w:val="003E4883"/>
    <w:rsid w:val="003F5B4C"/>
    <w:rsid w:val="00401094"/>
    <w:rsid w:val="00422160"/>
    <w:rsid w:val="0042624B"/>
    <w:rsid w:val="00430F9A"/>
    <w:rsid w:val="00467315"/>
    <w:rsid w:val="0047238E"/>
    <w:rsid w:val="004807A8"/>
    <w:rsid w:val="004854E8"/>
    <w:rsid w:val="004933D0"/>
    <w:rsid w:val="004A0D09"/>
    <w:rsid w:val="004B3551"/>
    <w:rsid w:val="004C1138"/>
    <w:rsid w:val="004C5E4D"/>
    <w:rsid w:val="004C6865"/>
    <w:rsid w:val="004D3F0C"/>
    <w:rsid w:val="004E2959"/>
    <w:rsid w:val="004E301C"/>
    <w:rsid w:val="005109E6"/>
    <w:rsid w:val="00515B4F"/>
    <w:rsid w:val="005236A8"/>
    <w:rsid w:val="00547FE9"/>
    <w:rsid w:val="005518E3"/>
    <w:rsid w:val="00556A70"/>
    <w:rsid w:val="00557569"/>
    <w:rsid w:val="00563439"/>
    <w:rsid w:val="005717FD"/>
    <w:rsid w:val="00585DEF"/>
    <w:rsid w:val="0058604D"/>
    <w:rsid w:val="005861DA"/>
    <w:rsid w:val="00586F78"/>
    <w:rsid w:val="00596A98"/>
    <w:rsid w:val="005A1876"/>
    <w:rsid w:val="005A2EEF"/>
    <w:rsid w:val="005A6954"/>
    <w:rsid w:val="005B0D1B"/>
    <w:rsid w:val="005C2719"/>
    <w:rsid w:val="005C4737"/>
    <w:rsid w:val="005E7FCD"/>
    <w:rsid w:val="005F4244"/>
    <w:rsid w:val="006054C2"/>
    <w:rsid w:val="006066B7"/>
    <w:rsid w:val="006416C7"/>
    <w:rsid w:val="00645FF2"/>
    <w:rsid w:val="006515C1"/>
    <w:rsid w:val="0066751B"/>
    <w:rsid w:val="0068249C"/>
    <w:rsid w:val="0069034F"/>
    <w:rsid w:val="006966F2"/>
    <w:rsid w:val="006B2F37"/>
    <w:rsid w:val="006D156F"/>
    <w:rsid w:val="006F5236"/>
    <w:rsid w:val="00712674"/>
    <w:rsid w:val="0074087F"/>
    <w:rsid w:val="00746584"/>
    <w:rsid w:val="00754C3B"/>
    <w:rsid w:val="00757CF1"/>
    <w:rsid w:val="00765166"/>
    <w:rsid w:val="00766407"/>
    <w:rsid w:val="00770061"/>
    <w:rsid w:val="00784AAF"/>
    <w:rsid w:val="007916F8"/>
    <w:rsid w:val="007A2F89"/>
    <w:rsid w:val="007B1E90"/>
    <w:rsid w:val="007B5E12"/>
    <w:rsid w:val="007F70DD"/>
    <w:rsid w:val="00803C71"/>
    <w:rsid w:val="0080628F"/>
    <w:rsid w:val="00816371"/>
    <w:rsid w:val="00840A64"/>
    <w:rsid w:val="00844C10"/>
    <w:rsid w:val="00860469"/>
    <w:rsid w:val="008673B5"/>
    <w:rsid w:val="0088286C"/>
    <w:rsid w:val="008A5AEE"/>
    <w:rsid w:val="008D1449"/>
    <w:rsid w:val="008F7BFD"/>
    <w:rsid w:val="009038FE"/>
    <w:rsid w:val="009060FA"/>
    <w:rsid w:val="0091148B"/>
    <w:rsid w:val="009115B5"/>
    <w:rsid w:val="00912217"/>
    <w:rsid w:val="00914FBB"/>
    <w:rsid w:val="00931151"/>
    <w:rsid w:val="00950B78"/>
    <w:rsid w:val="00956F09"/>
    <w:rsid w:val="009704C3"/>
    <w:rsid w:val="0098530A"/>
    <w:rsid w:val="0099769F"/>
    <w:rsid w:val="009A05A5"/>
    <w:rsid w:val="009A6B08"/>
    <w:rsid w:val="009B32A0"/>
    <w:rsid w:val="009C5F31"/>
    <w:rsid w:val="009D06B8"/>
    <w:rsid w:val="009D59F5"/>
    <w:rsid w:val="009E2590"/>
    <w:rsid w:val="009E7991"/>
    <w:rsid w:val="009F3D6F"/>
    <w:rsid w:val="009F7001"/>
    <w:rsid w:val="00A00347"/>
    <w:rsid w:val="00A13C32"/>
    <w:rsid w:val="00A32B5A"/>
    <w:rsid w:val="00A461FF"/>
    <w:rsid w:val="00A64B09"/>
    <w:rsid w:val="00A95E0E"/>
    <w:rsid w:val="00AB1337"/>
    <w:rsid w:val="00AD2E7E"/>
    <w:rsid w:val="00AE052F"/>
    <w:rsid w:val="00AE4625"/>
    <w:rsid w:val="00B35BF0"/>
    <w:rsid w:val="00B44896"/>
    <w:rsid w:val="00B51011"/>
    <w:rsid w:val="00B70E29"/>
    <w:rsid w:val="00B81C15"/>
    <w:rsid w:val="00B81F97"/>
    <w:rsid w:val="00B84AB8"/>
    <w:rsid w:val="00B90635"/>
    <w:rsid w:val="00B967CE"/>
    <w:rsid w:val="00BA2C94"/>
    <w:rsid w:val="00BA52E3"/>
    <w:rsid w:val="00BB1E4C"/>
    <w:rsid w:val="00BC377F"/>
    <w:rsid w:val="00BD3E26"/>
    <w:rsid w:val="00BE368B"/>
    <w:rsid w:val="00BF3076"/>
    <w:rsid w:val="00BF5A27"/>
    <w:rsid w:val="00C12571"/>
    <w:rsid w:val="00C22549"/>
    <w:rsid w:val="00C25905"/>
    <w:rsid w:val="00C25EEF"/>
    <w:rsid w:val="00C27FAF"/>
    <w:rsid w:val="00C4774E"/>
    <w:rsid w:val="00C520D9"/>
    <w:rsid w:val="00C52B8A"/>
    <w:rsid w:val="00C5768F"/>
    <w:rsid w:val="00C718F0"/>
    <w:rsid w:val="00CA228A"/>
    <w:rsid w:val="00CE36FE"/>
    <w:rsid w:val="00D013F1"/>
    <w:rsid w:val="00D0592D"/>
    <w:rsid w:val="00D105F5"/>
    <w:rsid w:val="00D17A13"/>
    <w:rsid w:val="00D3329E"/>
    <w:rsid w:val="00D817C2"/>
    <w:rsid w:val="00D972D8"/>
    <w:rsid w:val="00DC1722"/>
    <w:rsid w:val="00DC1AC1"/>
    <w:rsid w:val="00DC76E1"/>
    <w:rsid w:val="00DD3C2A"/>
    <w:rsid w:val="00DD3F69"/>
    <w:rsid w:val="00DE264D"/>
    <w:rsid w:val="00DE3748"/>
    <w:rsid w:val="00E142CB"/>
    <w:rsid w:val="00E272C5"/>
    <w:rsid w:val="00E31150"/>
    <w:rsid w:val="00E4014D"/>
    <w:rsid w:val="00E430D7"/>
    <w:rsid w:val="00E5160D"/>
    <w:rsid w:val="00E53655"/>
    <w:rsid w:val="00E54E65"/>
    <w:rsid w:val="00E5514F"/>
    <w:rsid w:val="00E66CF7"/>
    <w:rsid w:val="00E70662"/>
    <w:rsid w:val="00E93D3C"/>
    <w:rsid w:val="00E94E62"/>
    <w:rsid w:val="00EA2802"/>
    <w:rsid w:val="00EA6942"/>
    <w:rsid w:val="00EB53E4"/>
    <w:rsid w:val="00EC43AE"/>
    <w:rsid w:val="00ED2E35"/>
    <w:rsid w:val="00ED73B9"/>
    <w:rsid w:val="00EE2321"/>
    <w:rsid w:val="00F033EC"/>
    <w:rsid w:val="00F224C4"/>
    <w:rsid w:val="00F26F89"/>
    <w:rsid w:val="00F279EF"/>
    <w:rsid w:val="00F27B11"/>
    <w:rsid w:val="00F55D83"/>
    <w:rsid w:val="00FA0893"/>
    <w:rsid w:val="00FB15B0"/>
    <w:rsid w:val="00FB7664"/>
    <w:rsid w:val="00FC3073"/>
    <w:rsid w:val="00FF4EF3"/>
    <w:rsid w:val="00FF535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37"/>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737"/>
    <w:pPr>
      <w:spacing w:after="0" w:line="240" w:lineRule="auto"/>
      <w:ind w:left="720"/>
      <w:contextualSpacing/>
    </w:pPr>
    <w:rPr>
      <w:rFonts w:ascii="Calibri" w:eastAsia="SimSun" w:hAnsi="Calibri" w:cs="Arial"/>
      <w:lang w:val="en-GB" w:eastAsia="zh-CN"/>
    </w:rPr>
  </w:style>
  <w:style w:type="paragraph" w:styleId="BalloonText">
    <w:name w:val="Balloon Text"/>
    <w:basedOn w:val="Normal"/>
    <w:link w:val="BalloonTextChar"/>
    <w:uiPriority w:val="99"/>
    <w:semiHidden/>
    <w:unhideWhenUsed/>
    <w:rsid w:val="005C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37"/>
    <w:rPr>
      <w:rFonts w:ascii="Tahoma" w:hAnsi="Tahoma" w:cs="Tahoma"/>
      <w:sz w:val="16"/>
      <w:szCs w:val="16"/>
    </w:rPr>
  </w:style>
  <w:style w:type="paragraph" w:styleId="NoSpacing">
    <w:name w:val="No Spacing"/>
    <w:qFormat/>
    <w:rsid w:val="00E94E62"/>
    <w:pPr>
      <w:spacing w:after="0" w:line="240" w:lineRule="auto"/>
    </w:pPr>
    <w:rPr>
      <w:rFonts w:ascii="Times New Roman" w:eastAsia="Calibri" w:hAnsi="Times New Roman" w:cs="Times New Roman"/>
      <w:sz w:val="24"/>
      <w:szCs w:val="24"/>
      <w:lang w:val="nb-NO" w:eastAsia="nb-NO"/>
    </w:rPr>
  </w:style>
  <w:style w:type="paragraph" w:styleId="Header">
    <w:name w:val="header"/>
    <w:basedOn w:val="Normal"/>
    <w:link w:val="HeaderChar"/>
    <w:uiPriority w:val="99"/>
    <w:unhideWhenUsed/>
    <w:rsid w:val="007B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E12"/>
  </w:style>
  <w:style w:type="paragraph" w:styleId="Footer">
    <w:name w:val="footer"/>
    <w:basedOn w:val="Normal"/>
    <w:link w:val="FooterChar"/>
    <w:uiPriority w:val="99"/>
    <w:unhideWhenUsed/>
    <w:rsid w:val="007B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E12"/>
  </w:style>
  <w:style w:type="character" w:styleId="CommentReference">
    <w:name w:val="annotation reference"/>
    <w:basedOn w:val="DefaultParagraphFont"/>
    <w:uiPriority w:val="99"/>
    <w:semiHidden/>
    <w:unhideWhenUsed/>
    <w:rsid w:val="007916F8"/>
    <w:rPr>
      <w:sz w:val="16"/>
      <w:szCs w:val="16"/>
    </w:rPr>
  </w:style>
  <w:style w:type="paragraph" w:styleId="CommentText">
    <w:name w:val="annotation text"/>
    <w:basedOn w:val="Normal"/>
    <w:link w:val="CommentTextChar"/>
    <w:uiPriority w:val="99"/>
    <w:semiHidden/>
    <w:unhideWhenUsed/>
    <w:rsid w:val="007916F8"/>
    <w:pPr>
      <w:spacing w:line="240" w:lineRule="auto"/>
    </w:pPr>
    <w:rPr>
      <w:sz w:val="20"/>
      <w:szCs w:val="20"/>
    </w:rPr>
  </w:style>
  <w:style w:type="character" w:customStyle="1" w:styleId="CommentTextChar">
    <w:name w:val="Comment Text Char"/>
    <w:basedOn w:val="DefaultParagraphFont"/>
    <w:link w:val="CommentText"/>
    <w:uiPriority w:val="99"/>
    <w:semiHidden/>
    <w:rsid w:val="007916F8"/>
    <w:rPr>
      <w:sz w:val="20"/>
      <w:szCs w:val="20"/>
    </w:rPr>
  </w:style>
  <w:style w:type="paragraph" w:styleId="CommentSubject">
    <w:name w:val="annotation subject"/>
    <w:basedOn w:val="CommentText"/>
    <w:next w:val="CommentText"/>
    <w:link w:val="CommentSubjectChar"/>
    <w:uiPriority w:val="99"/>
    <w:semiHidden/>
    <w:unhideWhenUsed/>
    <w:rsid w:val="007916F8"/>
    <w:rPr>
      <w:b/>
      <w:bCs/>
    </w:rPr>
  </w:style>
  <w:style w:type="character" w:customStyle="1" w:styleId="CommentSubjectChar">
    <w:name w:val="Comment Subject Char"/>
    <w:basedOn w:val="CommentTextChar"/>
    <w:link w:val="CommentSubject"/>
    <w:uiPriority w:val="99"/>
    <w:semiHidden/>
    <w:rsid w:val="007916F8"/>
    <w:rPr>
      <w:b/>
      <w:bCs/>
      <w:sz w:val="20"/>
      <w:szCs w:val="20"/>
    </w:rPr>
  </w:style>
  <w:style w:type="character" w:styleId="Hyperlink">
    <w:name w:val="Hyperlink"/>
    <w:basedOn w:val="DefaultParagraphFont"/>
    <w:uiPriority w:val="99"/>
    <w:semiHidden/>
    <w:unhideWhenUsed/>
    <w:rsid w:val="004D3F0C"/>
    <w:rPr>
      <w:rFonts w:ascii="Times New Roman" w:hAnsi="Times New Roman" w:cs="Times New Roman" w:hint="default"/>
      <w:color w:val="0000FF"/>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37"/>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737"/>
    <w:pPr>
      <w:spacing w:after="0" w:line="240" w:lineRule="auto"/>
      <w:ind w:left="720"/>
      <w:contextualSpacing/>
    </w:pPr>
    <w:rPr>
      <w:rFonts w:ascii="Calibri" w:eastAsia="SimSun" w:hAnsi="Calibri" w:cs="Arial"/>
      <w:lang w:val="en-GB" w:eastAsia="zh-CN"/>
    </w:rPr>
  </w:style>
  <w:style w:type="paragraph" w:styleId="BalloonText">
    <w:name w:val="Balloon Text"/>
    <w:basedOn w:val="Normal"/>
    <w:link w:val="BalloonTextChar"/>
    <w:uiPriority w:val="99"/>
    <w:semiHidden/>
    <w:unhideWhenUsed/>
    <w:rsid w:val="005C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37"/>
    <w:rPr>
      <w:rFonts w:ascii="Tahoma" w:hAnsi="Tahoma" w:cs="Tahoma"/>
      <w:sz w:val="16"/>
      <w:szCs w:val="16"/>
    </w:rPr>
  </w:style>
  <w:style w:type="paragraph" w:styleId="NoSpacing">
    <w:name w:val="No Spacing"/>
    <w:qFormat/>
    <w:rsid w:val="00E94E62"/>
    <w:pPr>
      <w:spacing w:after="0" w:line="240" w:lineRule="auto"/>
    </w:pPr>
    <w:rPr>
      <w:rFonts w:ascii="Times New Roman" w:eastAsia="Calibri" w:hAnsi="Times New Roman" w:cs="Times New Roman"/>
      <w:sz w:val="24"/>
      <w:szCs w:val="24"/>
      <w:lang w:val="nb-NO" w:eastAsia="nb-NO"/>
    </w:rPr>
  </w:style>
  <w:style w:type="paragraph" w:styleId="Header">
    <w:name w:val="header"/>
    <w:basedOn w:val="Normal"/>
    <w:link w:val="HeaderChar"/>
    <w:uiPriority w:val="99"/>
    <w:unhideWhenUsed/>
    <w:rsid w:val="007B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E12"/>
  </w:style>
  <w:style w:type="paragraph" w:styleId="Footer">
    <w:name w:val="footer"/>
    <w:basedOn w:val="Normal"/>
    <w:link w:val="FooterChar"/>
    <w:uiPriority w:val="99"/>
    <w:unhideWhenUsed/>
    <w:rsid w:val="007B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E12"/>
  </w:style>
  <w:style w:type="character" w:styleId="CommentReference">
    <w:name w:val="annotation reference"/>
    <w:basedOn w:val="DefaultParagraphFont"/>
    <w:uiPriority w:val="99"/>
    <w:semiHidden/>
    <w:unhideWhenUsed/>
    <w:rsid w:val="007916F8"/>
    <w:rPr>
      <w:sz w:val="16"/>
      <w:szCs w:val="16"/>
    </w:rPr>
  </w:style>
  <w:style w:type="paragraph" w:styleId="CommentText">
    <w:name w:val="annotation text"/>
    <w:basedOn w:val="Normal"/>
    <w:link w:val="CommentTextChar"/>
    <w:uiPriority w:val="99"/>
    <w:semiHidden/>
    <w:unhideWhenUsed/>
    <w:rsid w:val="007916F8"/>
    <w:pPr>
      <w:spacing w:line="240" w:lineRule="auto"/>
    </w:pPr>
    <w:rPr>
      <w:sz w:val="20"/>
      <w:szCs w:val="20"/>
    </w:rPr>
  </w:style>
  <w:style w:type="character" w:customStyle="1" w:styleId="CommentTextChar">
    <w:name w:val="Comment Text Char"/>
    <w:basedOn w:val="DefaultParagraphFont"/>
    <w:link w:val="CommentText"/>
    <w:uiPriority w:val="99"/>
    <w:semiHidden/>
    <w:rsid w:val="007916F8"/>
    <w:rPr>
      <w:sz w:val="20"/>
      <w:szCs w:val="20"/>
    </w:rPr>
  </w:style>
  <w:style w:type="paragraph" w:styleId="CommentSubject">
    <w:name w:val="annotation subject"/>
    <w:basedOn w:val="CommentText"/>
    <w:next w:val="CommentText"/>
    <w:link w:val="CommentSubjectChar"/>
    <w:uiPriority w:val="99"/>
    <w:semiHidden/>
    <w:unhideWhenUsed/>
    <w:rsid w:val="007916F8"/>
    <w:rPr>
      <w:b/>
      <w:bCs/>
    </w:rPr>
  </w:style>
  <w:style w:type="character" w:customStyle="1" w:styleId="CommentSubjectChar">
    <w:name w:val="Comment Subject Char"/>
    <w:basedOn w:val="CommentTextChar"/>
    <w:link w:val="CommentSubject"/>
    <w:uiPriority w:val="99"/>
    <w:semiHidden/>
    <w:rsid w:val="007916F8"/>
    <w:rPr>
      <w:b/>
      <w:bCs/>
      <w:sz w:val="20"/>
      <w:szCs w:val="20"/>
    </w:rPr>
  </w:style>
  <w:style w:type="character" w:styleId="Hyperlink">
    <w:name w:val="Hyperlink"/>
    <w:basedOn w:val="DefaultParagraphFont"/>
    <w:uiPriority w:val="99"/>
    <w:semiHidden/>
    <w:unhideWhenUsed/>
    <w:rsid w:val="004D3F0C"/>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lchinre@state.gov" TargetMode="External"/><Relationship Id="rId18" Type="http://schemas.openxmlformats.org/officeDocument/2006/relationships/hyperlink" Target="mailto:michele@togetherforgirls.org" TargetMode="External"/><Relationship Id="rId26" Type="http://schemas.openxmlformats.org/officeDocument/2006/relationships/hyperlink" Target="mailto:jsva@norad.no" TargetMode="External"/><Relationship Id="rId3" Type="http://schemas.microsoft.com/office/2007/relationships/stylesWithEffects" Target="stylesWithEffects.xml"/><Relationship Id="rId21" Type="http://schemas.openxmlformats.org/officeDocument/2006/relationships/hyperlink" Target="mailto:edvergsdal@hotmail.com" TargetMode="External"/><Relationship Id="rId7" Type="http://schemas.openxmlformats.org/officeDocument/2006/relationships/endnotes" Target="endnotes.xml"/><Relationship Id="rId12" Type="http://schemas.openxmlformats.org/officeDocument/2006/relationships/hyperlink" Target="mailto:gavaghanA@state.gov" TargetMode="External"/><Relationship Id="rId17" Type="http://schemas.openxmlformats.org/officeDocument/2006/relationships/hyperlink" Target="mailto:a.zwi@unsw.edu.au" TargetMode="External"/><Relationship Id="rId25" Type="http://schemas.openxmlformats.org/officeDocument/2006/relationships/hyperlink" Target="mailto:kieselbachb@who.int" TargetMode="External"/><Relationship Id="rId2" Type="http://schemas.openxmlformats.org/officeDocument/2006/relationships/styles" Target="styles.xml"/><Relationship Id="rId16" Type="http://schemas.openxmlformats.org/officeDocument/2006/relationships/hyperlink" Target="mailto:Nduku@liverpoolvct.org" TargetMode="External"/><Relationship Id="rId20" Type="http://schemas.openxmlformats.org/officeDocument/2006/relationships/hyperlink" Target="mailto:garciamorenoc@who.in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osbyE@state.gov" TargetMode="External"/><Relationship Id="rId24" Type="http://schemas.openxmlformats.org/officeDocument/2006/relationships/hyperlink" Target="mailto:amina@who.int" TargetMode="External"/><Relationship Id="rId5" Type="http://schemas.openxmlformats.org/officeDocument/2006/relationships/webSettings" Target="webSettings.xml"/><Relationship Id="rId15" Type="http://schemas.openxmlformats.org/officeDocument/2006/relationships/hyperlink" Target="mailto:Sigrun.Mogedal@kunnskapssenteret.no" TargetMode="External"/><Relationship Id="rId23" Type="http://schemas.openxmlformats.org/officeDocument/2006/relationships/hyperlink" Target="mailto:ann@godal.com" TargetMode="External"/><Relationship Id="rId28" Type="http://schemas.openxmlformats.org/officeDocument/2006/relationships/hyperlink" Target="mailto:mod@norad.no" TargetMode="External"/><Relationship Id="rId10" Type="http://schemas.openxmlformats.org/officeDocument/2006/relationships/hyperlink" Target="mailto:krug@who.in" TargetMode="External"/><Relationship Id="rId19" Type="http://schemas.openxmlformats.org/officeDocument/2006/relationships/hyperlink" Target="mailto:butcharta@who.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D376E.41BE8E70" TargetMode="External"/><Relationship Id="rId14" Type="http://schemas.openxmlformats.org/officeDocument/2006/relationships/hyperlink" Target="mailto:Inger@prio.no" TargetMode="External"/><Relationship Id="rId22" Type="http://schemas.openxmlformats.org/officeDocument/2006/relationships/hyperlink" Target="mailto:hefo@norad.no" TargetMode="External"/><Relationship Id="rId27" Type="http://schemas.openxmlformats.org/officeDocument/2006/relationships/hyperlink" Target="mailto:Benedikte-Louise.Alveberg@hod.dep.no"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4181</Words>
  <Characters>22162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Svanemyr Joar</cp:lastModifiedBy>
  <cp:revision>3</cp:revision>
  <cp:lastPrinted>2012-06-05T05:55:00Z</cp:lastPrinted>
  <dcterms:created xsi:type="dcterms:W3CDTF">2012-06-28T10:38:00Z</dcterms:created>
  <dcterms:modified xsi:type="dcterms:W3CDTF">2012-06-28T13:27:00Z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