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376"/>
        <w:gridCol w:w="7866"/>
      </w:tblGrid>
      <w:tr w:rsidR="00E047CC" w:rsidRPr="00611822">
        <w:tc>
          <w:tcPr>
            <w:tcW w:w="1376" w:type="dxa"/>
            <w:shd w:val="clear" w:color="auto" w:fill="auto"/>
          </w:tcPr>
          <w:p w:rsidR="00E047CC" w:rsidRPr="00611822" w:rsidRDefault="0056286A" w:rsidP="00163BFB">
            <w:pPr>
              <w:jc w:val="center"/>
              <w:rPr>
                <w:rFonts w:cs="Calibri"/>
                <w:b/>
                <w:sz w:val="24"/>
                <w:szCs w:val="24"/>
              </w:rPr>
            </w:pPr>
            <w:bookmarkStart w:id="0" w:name="_GoBack"/>
            <w:bookmarkEnd w:id="0"/>
            <w:r>
              <w:rPr>
                <w:rFonts w:cs="Calibri"/>
                <w:noProof/>
                <w:sz w:val="22"/>
                <w:szCs w:val="22"/>
                <w:lang w:val="en-US" w:eastAsia="en-US"/>
              </w:rPr>
              <w:drawing>
                <wp:inline distT="0" distB="0" distL="0" distR="0">
                  <wp:extent cx="690880" cy="669925"/>
                  <wp:effectExtent l="0" t="0" r="0" b="0"/>
                  <wp:docPr id="1" name="Picture 11" descr="n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ca"/>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0880" cy="669925"/>
                          </a:xfrm>
                          <a:prstGeom prst="rect">
                            <a:avLst/>
                          </a:prstGeom>
                          <a:noFill/>
                          <a:ln>
                            <a:noFill/>
                          </a:ln>
                        </pic:spPr>
                      </pic:pic>
                    </a:graphicData>
                  </a:graphic>
                </wp:inline>
              </w:drawing>
            </w:r>
          </w:p>
        </w:tc>
        <w:tc>
          <w:tcPr>
            <w:tcW w:w="7866" w:type="dxa"/>
            <w:shd w:val="clear" w:color="auto" w:fill="auto"/>
          </w:tcPr>
          <w:p w:rsidR="00E047CC" w:rsidRPr="00C1539E" w:rsidRDefault="00E047CC" w:rsidP="00163BFB">
            <w:pPr>
              <w:pStyle w:val="Heading1"/>
              <w:jc w:val="center"/>
            </w:pPr>
            <w:r w:rsidRPr="00C1539E">
              <w:t>Network of Aquaculture Centres in Asia-Pacific</w:t>
            </w:r>
          </w:p>
          <w:p w:rsidR="008D7E96" w:rsidRPr="004E0700" w:rsidRDefault="004E0700" w:rsidP="008D7E96">
            <w:pPr>
              <w:rPr>
                <w:sz w:val="18"/>
                <w:szCs w:val="18"/>
              </w:rPr>
            </w:pPr>
            <w:r>
              <w:rPr>
                <w:sz w:val="18"/>
                <w:szCs w:val="18"/>
              </w:rPr>
              <w:t xml:space="preserve">        </w:t>
            </w:r>
            <w:r w:rsidR="008D7E96" w:rsidRPr="004E0700">
              <w:rPr>
                <w:sz w:val="18"/>
                <w:szCs w:val="18"/>
              </w:rPr>
              <w:t>Suraswadi Building, Department of Fisheries, Kasetsart University Campus, Bangkok, Thailand</w:t>
            </w:r>
          </w:p>
        </w:tc>
      </w:tr>
    </w:tbl>
    <w:p w:rsidR="00163BFB" w:rsidRDefault="00163BFB" w:rsidP="00163BFB">
      <w:pPr>
        <w:jc w:val="left"/>
        <w:rPr>
          <w:rFonts w:asciiTheme="minorHAnsi" w:eastAsiaTheme="minorHAnsi" w:hAnsiTheme="minorHAnsi" w:cstheme="minorBidi"/>
          <w:b/>
          <w:bCs/>
          <w:sz w:val="36"/>
          <w:szCs w:val="36"/>
          <w:lang w:val="en-US" w:eastAsia="en-US" w:bidi="th-TH"/>
        </w:rPr>
      </w:pPr>
    </w:p>
    <w:p w:rsidR="00A8331E" w:rsidRDefault="00A8331E" w:rsidP="00163BFB">
      <w:pPr>
        <w:jc w:val="left"/>
        <w:rPr>
          <w:rFonts w:asciiTheme="minorHAnsi" w:eastAsiaTheme="minorHAnsi" w:hAnsiTheme="minorHAnsi" w:cstheme="minorBidi"/>
          <w:b/>
          <w:bCs/>
          <w:sz w:val="36"/>
          <w:szCs w:val="36"/>
          <w:lang w:val="en-US" w:eastAsia="en-US" w:bidi="th-TH"/>
        </w:rPr>
      </w:pPr>
    </w:p>
    <w:p w:rsidR="00A8331E" w:rsidRDefault="00A8331E" w:rsidP="00163BFB">
      <w:pPr>
        <w:jc w:val="left"/>
        <w:rPr>
          <w:rFonts w:asciiTheme="minorHAnsi" w:eastAsiaTheme="minorHAnsi" w:hAnsiTheme="minorHAnsi" w:cstheme="minorBidi"/>
          <w:b/>
          <w:bCs/>
          <w:sz w:val="36"/>
          <w:szCs w:val="36"/>
          <w:lang w:val="en-US" w:eastAsia="en-US" w:bidi="th-TH"/>
        </w:rPr>
      </w:pPr>
    </w:p>
    <w:p w:rsidR="00FE30FA" w:rsidRDefault="00FE30FA" w:rsidP="00163BFB">
      <w:pPr>
        <w:jc w:val="left"/>
        <w:rPr>
          <w:rFonts w:asciiTheme="minorHAnsi" w:eastAsiaTheme="minorHAnsi" w:hAnsiTheme="minorHAnsi" w:cstheme="minorBidi"/>
          <w:b/>
          <w:bCs/>
          <w:sz w:val="36"/>
          <w:szCs w:val="36"/>
          <w:lang w:val="en-US" w:eastAsia="en-US" w:bidi="th-TH"/>
        </w:rPr>
      </w:pPr>
    </w:p>
    <w:p w:rsidR="00FE30FA" w:rsidRPr="00C1539E" w:rsidRDefault="00FE30FA" w:rsidP="00FE30FA">
      <w:pPr>
        <w:jc w:val="center"/>
        <w:rPr>
          <w:rFonts w:asciiTheme="minorHAnsi" w:eastAsiaTheme="minorHAnsi" w:hAnsiTheme="minorHAnsi" w:cstheme="minorBidi"/>
          <w:b/>
          <w:bCs/>
          <w:sz w:val="36"/>
          <w:szCs w:val="36"/>
          <w:lang w:val="en-US" w:eastAsia="en-US" w:bidi="th-TH"/>
        </w:rPr>
      </w:pPr>
      <w:r w:rsidRPr="00C1539E">
        <w:rPr>
          <w:rFonts w:asciiTheme="minorHAnsi" w:eastAsiaTheme="minorHAnsi" w:hAnsiTheme="minorHAnsi" w:cstheme="minorBidi"/>
          <w:b/>
          <w:bCs/>
          <w:sz w:val="36"/>
          <w:szCs w:val="36"/>
          <w:lang w:val="en-US" w:eastAsia="en-US" w:bidi="th-TH"/>
        </w:rPr>
        <w:t>Challenges and Opportunities to</w:t>
      </w:r>
    </w:p>
    <w:p w:rsidR="00FE30FA" w:rsidRPr="00C1539E" w:rsidRDefault="00FE30FA" w:rsidP="00FE30FA">
      <w:pPr>
        <w:jc w:val="center"/>
        <w:rPr>
          <w:rFonts w:asciiTheme="minorHAnsi" w:eastAsiaTheme="minorHAnsi" w:hAnsiTheme="minorHAnsi" w:cstheme="minorBidi"/>
          <w:b/>
          <w:bCs/>
          <w:sz w:val="36"/>
          <w:szCs w:val="36"/>
          <w:lang w:val="en-US" w:eastAsia="en-US" w:bidi="th-TH"/>
        </w:rPr>
      </w:pPr>
      <w:r w:rsidRPr="00C1539E">
        <w:rPr>
          <w:rFonts w:asciiTheme="minorHAnsi" w:eastAsiaTheme="minorHAnsi" w:hAnsiTheme="minorHAnsi" w:cstheme="minorBidi"/>
          <w:b/>
          <w:bCs/>
          <w:sz w:val="36"/>
          <w:szCs w:val="36"/>
          <w:lang w:val="en-US" w:eastAsia="en-US" w:bidi="th-TH"/>
        </w:rPr>
        <w:t>Promote Responsible Aquaculture in Asia – Pacific Region</w:t>
      </w:r>
    </w:p>
    <w:p w:rsidR="00FE30FA" w:rsidRDefault="00FE30FA" w:rsidP="00163BFB">
      <w:pPr>
        <w:jc w:val="left"/>
        <w:rPr>
          <w:rFonts w:asciiTheme="minorHAnsi" w:eastAsiaTheme="minorHAnsi" w:hAnsiTheme="minorHAnsi" w:cstheme="minorBidi"/>
          <w:b/>
          <w:bCs/>
          <w:sz w:val="36"/>
          <w:szCs w:val="36"/>
          <w:lang w:val="en-US" w:eastAsia="en-US" w:bidi="th-TH"/>
        </w:rPr>
      </w:pPr>
    </w:p>
    <w:p w:rsidR="00FE30FA" w:rsidRPr="00013276" w:rsidRDefault="00FE30FA" w:rsidP="00013276">
      <w:pPr>
        <w:jc w:val="center"/>
        <w:rPr>
          <w:rFonts w:asciiTheme="minorHAnsi" w:eastAsiaTheme="minorHAnsi" w:hAnsiTheme="minorHAnsi" w:cstheme="minorBidi"/>
          <w:bCs/>
          <w:sz w:val="24"/>
          <w:szCs w:val="24"/>
          <w:lang w:val="en-US" w:eastAsia="en-US" w:bidi="th-TH"/>
        </w:rPr>
      </w:pPr>
      <w:r w:rsidRPr="00013276">
        <w:rPr>
          <w:rFonts w:asciiTheme="minorHAnsi" w:eastAsiaTheme="minorHAnsi" w:hAnsiTheme="minorHAnsi" w:cstheme="minorBidi"/>
          <w:bCs/>
          <w:sz w:val="24"/>
          <w:szCs w:val="24"/>
          <w:lang w:val="en-US" w:eastAsia="en-US" w:bidi="th-TH"/>
        </w:rPr>
        <w:t xml:space="preserve">Extended Abstract of </w:t>
      </w:r>
      <w:r w:rsidR="00013276" w:rsidRPr="00013276">
        <w:rPr>
          <w:rFonts w:asciiTheme="minorHAnsi" w:eastAsiaTheme="minorHAnsi" w:hAnsiTheme="minorHAnsi" w:cstheme="minorBidi"/>
          <w:bCs/>
          <w:sz w:val="24"/>
          <w:szCs w:val="24"/>
          <w:lang w:val="en-US" w:eastAsia="en-US" w:bidi="th-TH"/>
        </w:rPr>
        <w:t>NACA Presentation at the</w:t>
      </w:r>
    </w:p>
    <w:p w:rsidR="00013276" w:rsidRDefault="00013276" w:rsidP="00013276">
      <w:pPr>
        <w:jc w:val="center"/>
        <w:rPr>
          <w:rFonts w:asciiTheme="minorHAnsi" w:eastAsiaTheme="minorHAnsi" w:hAnsiTheme="minorHAnsi" w:cstheme="minorBidi"/>
          <w:b/>
          <w:bCs/>
          <w:sz w:val="24"/>
          <w:szCs w:val="24"/>
          <w:lang w:val="en-US" w:eastAsia="en-US" w:bidi="th-TH"/>
        </w:rPr>
      </w:pPr>
    </w:p>
    <w:p w:rsidR="00013276" w:rsidRDefault="00013276" w:rsidP="00013276">
      <w:pPr>
        <w:jc w:val="center"/>
        <w:rPr>
          <w:rFonts w:asciiTheme="minorHAnsi" w:eastAsiaTheme="minorHAnsi" w:hAnsiTheme="minorHAnsi" w:cstheme="minorBidi"/>
          <w:b/>
          <w:bCs/>
          <w:sz w:val="32"/>
          <w:szCs w:val="32"/>
          <w:lang w:val="en-US" w:eastAsia="en-US" w:bidi="th-TH"/>
        </w:rPr>
      </w:pPr>
      <w:r>
        <w:rPr>
          <w:rFonts w:asciiTheme="minorHAnsi" w:eastAsiaTheme="minorHAnsi" w:hAnsiTheme="minorHAnsi" w:cstheme="minorBidi"/>
          <w:b/>
          <w:bCs/>
          <w:sz w:val="32"/>
          <w:szCs w:val="32"/>
          <w:lang w:val="en-US" w:eastAsia="en-US" w:bidi="th-TH"/>
        </w:rPr>
        <w:t>Regional Seminar on Aquaculture for</w:t>
      </w:r>
    </w:p>
    <w:p w:rsidR="00A8331E" w:rsidRDefault="00013276" w:rsidP="00013276">
      <w:pPr>
        <w:jc w:val="center"/>
        <w:rPr>
          <w:rFonts w:asciiTheme="minorHAnsi" w:eastAsiaTheme="minorHAnsi" w:hAnsiTheme="minorHAnsi" w:cstheme="minorBidi"/>
          <w:b/>
          <w:bCs/>
          <w:sz w:val="28"/>
          <w:szCs w:val="28"/>
          <w:lang w:val="en-US" w:eastAsia="en-US" w:bidi="th-TH"/>
        </w:rPr>
      </w:pPr>
      <w:r w:rsidRPr="00A8331E">
        <w:rPr>
          <w:rFonts w:asciiTheme="minorHAnsi" w:eastAsiaTheme="minorHAnsi" w:hAnsiTheme="minorHAnsi" w:cstheme="minorBidi"/>
          <w:b/>
          <w:bCs/>
          <w:sz w:val="28"/>
          <w:szCs w:val="28"/>
          <w:lang w:val="en-US" w:eastAsia="en-US" w:bidi="th-TH"/>
        </w:rPr>
        <w:t>Program Officers of Norwegian Embassies &amp; Fisheries Advisors of NORAD</w:t>
      </w:r>
    </w:p>
    <w:p w:rsidR="00013276" w:rsidRDefault="00013276" w:rsidP="00013276">
      <w:pPr>
        <w:jc w:val="center"/>
        <w:rPr>
          <w:rFonts w:asciiTheme="minorHAnsi" w:eastAsiaTheme="minorHAnsi" w:hAnsiTheme="minorHAnsi" w:cstheme="minorBidi"/>
          <w:b/>
          <w:bCs/>
          <w:sz w:val="28"/>
          <w:szCs w:val="28"/>
          <w:lang w:val="en-US" w:eastAsia="en-US" w:bidi="th-TH"/>
        </w:rPr>
      </w:pPr>
      <w:r w:rsidRPr="00A8331E">
        <w:rPr>
          <w:rFonts w:asciiTheme="minorHAnsi" w:eastAsiaTheme="minorHAnsi" w:hAnsiTheme="minorHAnsi" w:cstheme="minorBidi"/>
          <w:b/>
          <w:bCs/>
          <w:sz w:val="28"/>
          <w:szCs w:val="28"/>
          <w:lang w:val="en-US" w:eastAsia="en-US" w:bidi="th-TH"/>
        </w:rPr>
        <w:t xml:space="preserve">January 16 – 18, 2013: Bangkok, Thailand </w:t>
      </w:r>
    </w:p>
    <w:p w:rsidR="008D4950" w:rsidRDefault="008D4950" w:rsidP="00013276">
      <w:pPr>
        <w:jc w:val="center"/>
        <w:rPr>
          <w:rFonts w:asciiTheme="minorHAnsi" w:eastAsiaTheme="minorHAnsi" w:hAnsiTheme="minorHAnsi" w:cstheme="minorBidi"/>
          <w:b/>
          <w:bCs/>
          <w:sz w:val="28"/>
          <w:szCs w:val="28"/>
          <w:lang w:val="en-US" w:eastAsia="en-US" w:bidi="th-TH"/>
        </w:rPr>
      </w:pPr>
    </w:p>
    <w:p w:rsidR="008D4950" w:rsidRDefault="008D4950">
      <w:pPr>
        <w:spacing w:after="0" w:line="240" w:lineRule="auto"/>
        <w:jc w:val="left"/>
        <w:rPr>
          <w:rFonts w:asciiTheme="minorHAnsi" w:eastAsiaTheme="minorHAnsi" w:hAnsiTheme="minorHAnsi" w:cstheme="minorBidi"/>
          <w:b/>
          <w:bCs/>
          <w:sz w:val="28"/>
          <w:szCs w:val="28"/>
          <w:lang w:val="en-US" w:eastAsia="en-US" w:bidi="th-TH"/>
        </w:rPr>
      </w:pPr>
      <w:r>
        <w:rPr>
          <w:rFonts w:asciiTheme="minorHAnsi" w:eastAsiaTheme="minorHAnsi" w:hAnsiTheme="minorHAnsi" w:cstheme="minorBidi"/>
          <w:b/>
          <w:bCs/>
          <w:sz w:val="28"/>
          <w:szCs w:val="28"/>
          <w:lang w:val="en-US" w:eastAsia="en-US" w:bidi="th-TH"/>
        </w:rPr>
        <w:br w:type="page"/>
      </w:r>
    </w:p>
    <w:p w:rsidR="008D4950" w:rsidRPr="00CA43B0" w:rsidRDefault="00CA43B0" w:rsidP="0065564B">
      <w:pPr>
        <w:spacing w:after="0" w:line="240" w:lineRule="auto"/>
        <w:jc w:val="center"/>
        <w:rPr>
          <w:rFonts w:asciiTheme="minorHAnsi" w:hAnsiTheme="minorHAnsi"/>
          <w:bCs/>
          <w:i/>
          <w:sz w:val="28"/>
          <w:szCs w:val="28"/>
        </w:rPr>
      </w:pPr>
      <w:r w:rsidRPr="00CA43B0">
        <w:rPr>
          <w:rFonts w:asciiTheme="minorHAnsi" w:hAnsiTheme="minorHAnsi"/>
          <w:bCs/>
          <w:i/>
          <w:sz w:val="28"/>
          <w:szCs w:val="28"/>
        </w:rPr>
        <w:t>Abstract</w:t>
      </w:r>
    </w:p>
    <w:p w:rsidR="00CA43B0" w:rsidRDefault="00CA43B0" w:rsidP="00CA43B0">
      <w:pPr>
        <w:spacing w:after="0" w:line="240" w:lineRule="auto"/>
        <w:jc w:val="left"/>
        <w:rPr>
          <w:rFonts w:asciiTheme="minorHAnsi" w:hAnsiTheme="minorHAnsi"/>
          <w:bCs/>
          <w:i/>
          <w:sz w:val="22"/>
          <w:szCs w:val="22"/>
        </w:rPr>
      </w:pPr>
    </w:p>
    <w:p w:rsidR="00CA43B0" w:rsidRDefault="00CA43B0" w:rsidP="00CA43B0">
      <w:pPr>
        <w:spacing w:after="0" w:line="240" w:lineRule="auto"/>
        <w:jc w:val="left"/>
        <w:rPr>
          <w:rFonts w:asciiTheme="minorHAnsi" w:hAnsiTheme="minorHAnsi"/>
          <w:bCs/>
          <w:i/>
          <w:sz w:val="22"/>
          <w:szCs w:val="22"/>
        </w:rPr>
      </w:pPr>
      <w:r>
        <w:rPr>
          <w:rFonts w:asciiTheme="minorHAnsi" w:hAnsiTheme="minorHAnsi"/>
          <w:bCs/>
          <w:i/>
          <w:sz w:val="22"/>
          <w:szCs w:val="22"/>
        </w:rPr>
        <w:t xml:space="preserve">Our presentation will begin with an overview of aquaculture production – global and in the Asia – Pacific region, with emphasis on the unique characteristics of the extant Asian aquaculture system: diversity of species, diversity of farming systems, the present trends and most importantly the people and the small scale entrepreneurs who are responsible for the region’s impressive contribution to the food security, nutrition and livelihoods. The focus of discussions will be on the track record of aquaculture in Asia in terms of its responsiveness to a number of issues related to the “image” and sustainability of aquaculture including, productivity, environment, biodiversity, use of resources, food safety, balancing of socio-economic benefits, small-scale vis-à-vis large scale industrial aquaculture; and adoption of animal welfare measures. </w:t>
      </w:r>
      <w:r w:rsidR="00C53406">
        <w:rPr>
          <w:rFonts w:asciiTheme="minorHAnsi" w:hAnsiTheme="minorHAnsi"/>
          <w:bCs/>
          <w:i/>
          <w:sz w:val="22"/>
          <w:szCs w:val="22"/>
        </w:rPr>
        <w:t xml:space="preserve">It will also focus on how the sector as a whole is expected to sustain in the next few decades against the backdrop of stagnating food fish production from capture fisheries, population growth and the targets established under the auspices of the Millennium Development Goals. We have highlighted some priority intervention areas for due consideration by NORAD and the Norwegian Embassies in the region. </w:t>
      </w:r>
    </w:p>
    <w:p w:rsidR="00C53406" w:rsidRDefault="00C53406" w:rsidP="00C53406">
      <w:pPr>
        <w:spacing w:after="0" w:line="240" w:lineRule="auto"/>
        <w:jc w:val="left"/>
        <w:rPr>
          <w:rFonts w:asciiTheme="minorHAnsi" w:hAnsiTheme="minorHAnsi"/>
          <w:bCs/>
          <w:i/>
          <w:sz w:val="22"/>
          <w:szCs w:val="22"/>
        </w:rPr>
      </w:pPr>
    </w:p>
    <w:p w:rsidR="00C53406" w:rsidRPr="00C53406" w:rsidRDefault="00C53406" w:rsidP="00C53406">
      <w:pPr>
        <w:spacing w:after="0" w:line="240" w:lineRule="auto"/>
        <w:jc w:val="center"/>
        <w:rPr>
          <w:rFonts w:asciiTheme="minorHAnsi" w:hAnsiTheme="minorHAnsi"/>
          <w:bCs/>
          <w:sz w:val="22"/>
          <w:szCs w:val="22"/>
        </w:rPr>
      </w:pPr>
      <w:r w:rsidRPr="00C53406">
        <w:rPr>
          <w:rFonts w:asciiTheme="minorHAnsi" w:hAnsiTheme="minorHAnsi"/>
          <w:bCs/>
          <w:sz w:val="22"/>
          <w:szCs w:val="22"/>
        </w:rPr>
        <w:t>----------------------------------------------------</w:t>
      </w:r>
    </w:p>
    <w:p w:rsidR="00C53406" w:rsidRPr="00C53406" w:rsidRDefault="00C53406" w:rsidP="00C53406">
      <w:pPr>
        <w:pStyle w:val="ListParagraph"/>
        <w:spacing w:after="0" w:line="240" w:lineRule="auto"/>
        <w:ind w:left="3240"/>
        <w:jc w:val="left"/>
        <w:rPr>
          <w:rFonts w:asciiTheme="minorHAnsi" w:hAnsiTheme="minorHAnsi"/>
          <w:bCs/>
          <w:sz w:val="22"/>
          <w:szCs w:val="22"/>
        </w:rPr>
      </w:pPr>
    </w:p>
    <w:p w:rsidR="00CA43B0" w:rsidRPr="00CA43B0" w:rsidRDefault="00CA43B0" w:rsidP="00CA43B0">
      <w:pPr>
        <w:spacing w:after="0" w:line="240" w:lineRule="auto"/>
        <w:jc w:val="left"/>
        <w:rPr>
          <w:rFonts w:asciiTheme="minorHAnsi" w:hAnsiTheme="minorHAnsi"/>
          <w:bCs/>
          <w:i/>
          <w:sz w:val="22"/>
          <w:szCs w:val="22"/>
        </w:rPr>
      </w:pPr>
    </w:p>
    <w:p w:rsidR="008D4950" w:rsidRPr="00D75709" w:rsidRDefault="008D4950" w:rsidP="00D75709">
      <w:pPr>
        <w:spacing w:after="0" w:line="240" w:lineRule="auto"/>
        <w:rPr>
          <w:rFonts w:ascii="Arial" w:hAnsi="Arial" w:cs="Arial"/>
        </w:rPr>
      </w:pPr>
      <w:r w:rsidRPr="00847CC2">
        <w:rPr>
          <w:rFonts w:ascii="Arial" w:hAnsi="Arial" w:cs="Arial"/>
          <w:b/>
        </w:rPr>
        <w:t>Global Scenario</w:t>
      </w:r>
      <w:r>
        <w:rPr>
          <w:rFonts w:ascii="Arial" w:hAnsi="Arial" w:cs="Arial"/>
        </w:rPr>
        <w:t xml:space="preserve">: </w:t>
      </w:r>
      <w:r w:rsidRPr="00D75709">
        <w:rPr>
          <w:rFonts w:ascii="Arial" w:hAnsi="Arial" w:cs="Arial"/>
        </w:rPr>
        <w:t>The global capture fisheries production has stabilized at about 90 m</w:t>
      </w:r>
      <w:r w:rsidR="00C53406">
        <w:rPr>
          <w:rFonts w:ascii="Arial" w:hAnsi="Arial" w:cs="Arial"/>
        </w:rPr>
        <w:t xml:space="preserve">illion metric tonnes (MMT) with estimated value </w:t>
      </w:r>
      <w:r w:rsidRPr="00D75709">
        <w:rPr>
          <w:rFonts w:ascii="Arial" w:hAnsi="Arial" w:cs="Arial"/>
        </w:rPr>
        <w:t>US$</w:t>
      </w:r>
      <w:r w:rsidR="00C53406">
        <w:rPr>
          <w:rFonts w:ascii="Arial" w:hAnsi="Arial" w:cs="Arial"/>
        </w:rPr>
        <w:t xml:space="preserve">217.5 billion in 2010. Global aquaculture production, on the other hand, </w:t>
      </w:r>
      <w:r w:rsidRPr="00D75709">
        <w:rPr>
          <w:rFonts w:ascii="Arial" w:hAnsi="Arial" w:cs="Arial"/>
        </w:rPr>
        <w:t>has continued to grow, albeit more slowly than in the 1980s and 1990s. In 2010, the world aquacult</w:t>
      </w:r>
      <w:r w:rsidR="00C53406">
        <w:rPr>
          <w:rFonts w:ascii="Arial" w:hAnsi="Arial" w:cs="Arial"/>
        </w:rPr>
        <w:t xml:space="preserve">ure production attained an all-time high at 60 MMT </w:t>
      </w:r>
      <w:r w:rsidRPr="00D75709">
        <w:rPr>
          <w:rFonts w:ascii="Arial" w:hAnsi="Arial" w:cs="Arial"/>
        </w:rPr>
        <w:t xml:space="preserve">(excluding aquatic plants and non-food products), with an estimated total value of US$119 billion. The share of total fishery production exported in the form of various food and feed items increased from 25 percent in 1976 to about 38 percent in 2010. World trade in fish and fishery products grew significantly also in value terms, rising from US$8 billion (1976) to US$102 billion (2010). The key drivers for increase in world trade of fish and fishery products include; sustained demand, trade liberalization policies, globalization of food systems and technological innovations. On the livelihood front, fisheries and aquaculture provided livelihoods and income for an estimated 54.8 million people engaged in the primary sector of fish production in 2010. Apart from the primary production sector, fisheries and aquaculture provide numerous jobs in ancillary activities. All of this employment, together with dependents, is estimated to support the livelihoods of 660–820 million people, or about 10–12 percent of the world’s population. World per capita food fish supply increased from an average of 9.9 kg in the 1960s to an estimated 18.6 kg in 2010. Fish accounts for about 16.6 percent of the world population’s intake of animal protein and 6.5 percent of all protein consumed. Globally, fish provides about 3.0 billion people with almost 20 percent of their intake of animal protein, and 4.3 billion people with about 15 percent of such protein. </w:t>
      </w:r>
    </w:p>
    <w:p w:rsidR="008D4950" w:rsidRPr="00D75709" w:rsidRDefault="008D4950" w:rsidP="00D75709">
      <w:pPr>
        <w:spacing w:after="0" w:line="240" w:lineRule="auto"/>
        <w:rPr>
          <w:rFonts w:ascii="Arial" w:hAnsi="Arial" w:cs="Arial"/>
        </w:rPr>
      </w:pPr>
    </w:p>
    <w:p w:rsidR="008D4950" w:rsidRDefault="008D4950" w:rsidP="00D75709">
      <w:pPr>
        <w:spacing w:after="0" w:line="240" w:lineRule="auto"/>
        <w:rPr>
          <w:rFonts w:ascii="Arial" w:hAnsi="Arial" w:cs="Arial"/>
        </w:rPr>
      </w:pPr>
      <w:r w:rsidRPr="00847CC2">
        <w:rPr>
          <w:rFonts w:ascii="Arial" w:hAnsi="Arial" w:cs="Arial"/>
          <w:b/>
        </w:rPr>
        <w:t>Asia Pacific Scenario</w:t>
      </w:r>
      <w:r>
        <w:rPr>
          <w:rFonts w:ascii="Arial" w:hAnsi="Arial" w:cs="Arial"/>
        </w:rPr>
        <w:t xml:space="preserve">: </w:t>
      </w:r>
      <w:r w:rsidRPr="00D75709">
        <w:rPr>
          <w:rFonts w:ascii="Arial" w:hAnsi="Arial" w:cs="Arial"/>
        </w:rPr>
        <w:t xml:space="preserve">Asia Pacific is the top aquaculture region in the world. In 2010, almost 90% of world aquaculture production came from the region. China is the mainstay in the region. Without China, Asia-Pacific only contributes around 30% of the world aquaculture production (and value). Asia-Pacific as a region produced </w:t>
      </w:r>
      <w:r w:rsidRPr="00D75709">
        <w:rPr>
          <w:rFonts w:ascii="Arial" w:hAnsi="Arial" w:cs="Arial"/>
          <w:bCs/>
        </w:rPr>
        <w:t xml:space="preserve">53.1 </w:t>
      </w:r>
      <w:r w:rsidR="00EA3663">
        <w:rPr>
          <w:rFonts w:ascii="Arial" w:hAnsi="Arial" w:cs="Arial"/>
          <w:bCs/>
        </w:rPr>
        <w:t>MMT</w:t>
      </w:r>
      <w:r w:rsidRPr="00D75709">
        <w:rPr>
          <w:rFonts w:ascii="Arial" w:hAnsi="Arial" w:cs="Arial"/>
        </w:rPr>
        <w:t xml:space="preserve"> of aquaculture products (excluding aquatic plants) showing a </w:t>
      </w:r>
      <w:r w:rsidRPr="00D75709">
        <w:rPr>
          <w:rFonts w:ascii="Arial" w:hAnsi="Arial" w:cs="Arial"/>
          <w:bCs/>
        </w:rPr>
        <w:t xml:space="preserve">6.5% </w:t>
      </w:r>
      <w:r w:rsidRPr="00D75709">
        <w:rPr>
          <w:rFonts w:ascii="Arial" w:hAnsi="Arial" w:cs="Arial"/>
        </w:rPr>
        <w:t xml:space="preserve">annual growth over decade 2000-2010 and contributing to </w:t>
      </w:r>
      <w:r w:rsidRPr="00D75709">
        <w:rPr>
          <w:rFonts w:ascii="Arial" w:hAnsi="Arial" w:cs="Arial"/>
          <w:bCs/>
        </w:rPr>
        <w:t xml:space="preserve">89% </w:t>
      </w:r>
      <w:r w:rsidRPr="00D75709">
        <w:rPr>
          <w:rFonts w:ascii="Arial" w:hAnsi="Arial" w:cs="Arial"/>
        </w:rPr>
        <w:t xml:space="preserve">of global aquaculture production. Total value of aquaculture products from the region was </w:t>
      </w:r>
      <w:r w:rsidRPr="00D75709">
        <w:rPr>
          <w:rFonts w:ascii="Arial" w:hAnsi="Arial" w:cs="Arial"/>
          <w:bCs/>
        </w:rPr>
        <w:t>$95.2 billion</w:t>
      </w:r>
      <w:r w:rsidRPr="00D75709">
        <w:rPr>
          <w:rFonts w:ascii="Arial" w:hAnsi="Arial" w:cs="Arial"/>
        </w:rPr>
        <w:t xml:space="preserve"> showing </w:t>
      </w:r>
      <w:r w:rsidRPr="00D75709">
        <w:rPr>
          <w:rFonts w:ascii="Arial" w:hAnsi="Arial" w:cs="Arial"/>
          <w:bCs/>
        </w:rPr>
        <w:t xml:space="preserve">10.6% </w:t>
      </w:r>
      <w:r w:rsidRPr="00D75709">
        <w:rPr>
          <w:rFonts w:ascii="Arial" w:hAnsi="Arial" w:cs="Arial"/>
        </w:rPr>
        <w:t xml:space="preserve">annual growth over decade 2000-2010 and contributing to </w:t>
      </w:r>
      <w:r w:rsidRPr="00D75709">
        <w:rPr>
          <w:rFonts w:ascii="Arial" w:hAnsi="Arial" w:cs="Arial"/>
          <w:bCs/>
        </w:rPr>
        <w:t xml:space="preserve">80 % </w:t>
      </w:r>
      <w:r w:rsidRPr="00D75709">
        <w:rPr>
          <w:rFonts w:ascii="Arial" w:hAnsi="Arial" w:cs="Arial"/>
        </w:rPr>
        <w:t>of the global total. During 2000-2010, Asia Pacific witnessed a</w:t>
      </w:r>
      <w:r w:rsidR="00EA3663">
        <w:rPr>
          <w:rFonts w:ascii="Arial" w:hAnsi="Arial" w:cs="Arial"/>
        </w:rPr>
        <w:t>n</w:t>
      </w:r>
      <w:r w:rsidRPr="00D75709">
        <w:rPr>
          <w:rFonts w:ascii="Arial" w:hAnsi="Arial" w:cs="Arial"/>
        </w:rPr>
        <w:t xml:space="preserve"> average growth of 6.7% per year but with significant variations at the country levels. </w:t>
      </w:r>
    </w:p>
    <w:p w:rsidR="00EA3663" w:rsidRPr="00D75709" w:rsidRDefault="00EA3663" w:rsidP="00D75709">
      <w:pPr>
        <w:spacing w:after="0" w:line="240" w:lineRule="auto"/>
        <w:rPr>
          <w:rFonts w:ascii="Arial" w:hAnsi="Arial" w:cs="Arial"/>
        </w:rPr>
      </w:pPr>
    </w:p>
    <w:p w:rsidR="008D4950" w:rsidRPr="00D75709" w:rsidRDefault="008D4950" w:rsidP="00D75709">
      <w:pPr>
        <w:spacing w:after="0" w:line="240" w:lineRule="auto"/>
        <w:rPr>
          <w:rFonts w:ascii="Arial" w:hAnsi="Arial" w:cs="Arial"/>
        </w:rPr>
      </w:pPr>
      <w:r w:rsidRPr="00847CC2">
        <w:rPr>
          <w:rFonts w:ascii="Arial" w:hAnsi="Arial" w:cs="Arial"/>
          <w:b/>
        </w:rPr>
        <w:t>Highlights from Asia Pacific</w:t>
      </w:r>
      <w:r>
        <w:rPr>
          <w:rFonts w:ascii="Arial" w:hAnsi="Arial" w:cs="Arial"/>
        </w:rPr>
        <w:t xml:space="preserve">: </w:t>
      </w:r>
      <w:r w:rsidRPr="00D75709">
        <w:rPr>
          <w:rFonts w:ascii="Arial" w:hAnsi="Arial" w:cs="Arial"/>
        </w:rPr>
        <w:t>Eight of the top 10 producers are from the Asia Pacific region. They are China, India, Vietnam, Indonesia, Bangladesh, Thailand, Myanmar and Philippines. Freshwater finfish requiring lower cost feed inputs d</w:t>
      </w:r>
      <w:r w:rsidRPr="00D75709">
        <w:rPr>
          <w:rFonts w:ascii="Arial" w:hAnsi="Arial" w:cs="Arial"/>
          <w:bCs/>
          <w:u w:val="single"/>
        </w:rPr>
        <w:t>ominate</w:t>
      </w:r>
      <w:r w:rsidRPr="00D75709">
        <w:rPr>
          <w:rFonts w:ascii="Arial" w:hAnsi="Arial" w:cs="Arial"/>
        </w:rPr>
        <w:t xml:space="preserve"> freshwater finfish production (carps) accounting for 95% of the production at 30</w:t>
      </w:r>
      <w:r w:rsidR="00EA3663">
        <w:rPr>
          <w:rFonts w:ascii="Arial" w:hAnsi="Arial" w:cs="Arial"/>
        </w:rPr>
        <w:t xml:space="preserve"> MMT </w:t>
      </w:r>
      <w:r w:rsidRPr="00D75709">
        <w:rPr>
          <w:rFonts w:ascii="Arial" w:hAnsi="Arial" w:cs="Arial"/>
        </w:rPr>
        <w:t>in 2010. In recent years there has been a rapid growth of high value freshwater finfish such as snakehead, eel species, mandarin fish and largemouth bl</w:t>
      </w:r>
      <w:r w:rsidR="00EA3663">
        <w:rPr>
          <w:rFonts w:ascii="Arial" w:hAnsi="Arial" w:cs="Arial"/>
        </w:rPr>
        <w:t xml:space="preserve">ack bass. Catfish has been the </w:t>
      </w:r>
      <w:r w:rsidRPr="00D75709">
        <w:rPr>
          <w:rFonts w:ascii="Arial" w:hAnsi="Arial" w:cs="Arial"/>
          <w:bCs/>
        </w:rPr>
        <w:t xml:space="preserve">fastest growing </w:t>
      </w:r>
      <w:r w:rsidRPr="00D75709">
        <w:rPr>
          <w:rFonts w:ascii="Arial" w:hAnsi="Arial" w:cs="Arial"/>
        </w:rPr>
        <w:t xml:space="preserve">species group with </w:t>
      </w:r>
      <w:r w:rsidRPr="00D75709">
        <w:rPr>
          <w:rFonts w:ascii="Arial" w:hAnsi="Arial" w:cs="Arial"/>
          <w:bCs/>
        </w:rPr>
        <w:t xml:space="preserve">2.8 million tonnes </w:t>
      </w:r>
      <w:r w:rsidRPr="00D75709">
        <w:rPr>
          <w:rFonts w:ascii="Arial" w:hAnsi="Arial" w:cs="Arial"/>
        </w:rPr>
        <w:t xml:space="preserve">in 2010 witnessing a </w:t>
      </w:r>
      <w:r w:rsidR="00EA3663">
        <w:rPr>
          <w:rFonts w:ascii="Arial" w:hAnsi="Arial" w:cs="Arial"/>
          <w:bCs/>
        </w:rPr>
        <w:t>rapid growth during 2000 – 2010</w:t>
      </w:r>
      <w:r w:rsidRPr="00D75709">
        <w:rPr>
          <w:rFonts w:ascii="Arial" w:hAnsi="Arial" w:cs="Arial"/>
          <w:bCs/>
        </w:rPr>
        <w:t xml:space="preserve">, </w:t>
      </w:r>
      <w:r w:rsidRPr="00D75709">
        <w:rPr>
          <w:rFonts w:ascii="Arial" w:hAnsi="Arial" w:cs="Arial"/>
        </w:rPr>
        <w:t xml:space="preserve">28 % per year. Tilapia, </w:t>
      </w:r>
      <w:r w:rsidRPr="00D75709">
        <w:rPr>
          <w:rFonts w:ascii="Arial" w:hAnsi="Arial" w:cs="Arial"/>
          <w:bCs/>
        </w:rPr>
        <w:t xml:space="preserve">dominated </w:t>
      </w:r>
      <w:r w:rsidRPr="00D75709">
        <w:rPr>
          <w:rFonts w:ascii="Arial" w:hAnsi="Arial" w:cs="Arial"/>
        </w:rPr>
        <w:t xml:space="preserve">by Nile tilapia is emerging as an important commodity with </w:t>
      </w:r>
      <w:r w:rsidRPr="00D75709">
        <w:rPr>
          <w:rFonts w:ascii="Arial" w:hAnsi="Arial" w:cs="Arial"/>
          <w:bCs/>
        </w:rPr>
        <w:t xml:space="preserve">2.4 </w:t>
      </w:r>
      <w:r w:rsidR="00EA3663">
        <w:rPr>
          <w:rFonts w:ascii="Arial" w:hAnsi="Arial" w:cs="Arial"/>
          <w:bCs/>
        </w:rPr>
        <w:t>MMT</w:t>
      </w:r>
      <w:r w:rsidR="00EA3663">
        <w:rPr>
          <w:rFonts w:ascii="Arial" w:hAnsi="Arial" w:cs="Arial"/>
        </w:rPr>
        <w:t xml:space="preserve"> (unit value </w:t>
      </w:r>
      <w:r w:rsidRPr="00D75709">
        <w:rPr>
          <w:rFonts w:ascii="Arial" w:hAnsi="Arial" w:cs="Arial"/>
        </w:rPr>
        <w:t xml:space="preserve">$ 1.49/kg) in 2010 and </w:t>
      </w:r>
      <w:r w:rsidR="00EA3663">
        <w:rPr>
          <w:rFonts w:ascii="Arial" w:hAnsi="Arial" w:cs="Arial"/>
          <w:bCs/>
        </w:rPr>
        <w:t xml:space="preserve">4 </w:t>
      </w:r>
      <w:r w:rsidRPr="00D75709">
        <w:rPr>
          <w:rFonts w:ascii="Arial" w:hAnsi="Arial" w:cs="Arial"/>
          <w:bCs/>
        </w:rPr>
        <w:t>countries (</w:t>
      </w:r>
      <w:r w:rsidRPr="00D75709">
        <w:rPr>
          <w:rFonts w:ascii="Arial" w:hAnsi="Arial" w:cs="Arial"/>
        </w:rPr>
        <w:t xml:space="preserve">China, Indonesia, Philippines &amp; Thailand) are leading in its production. Of the various cultured commodities, crustaceans are the most valuable species group. The total </w:t>
      </w:r>
      <w:r w:rsidR="00EA3663">
        <w:rPr>
          <w:rFonts w:ascii="Arial" w:hAnsi="Arial" w:cs="Arial"/>
        </w:rPr>
        <w:t xml:space="preserve">production in 2010 has reached </w:t>
      </w:r>
      <w:r w:rsidR="00EA3663">
        <w:rPr>
          <w:rFonts w:ascii="Arial" w:hAnsi="Arial" w:cs="Arial"/>
          <w:bCs/>
        </w:rPr>
        <w:t>5.1 MMT.</w:t>
      </w:r>
      <w:r w:rsidRPr="00D75709">
        <w:rPr>
          <w:rFonts w:ascii="Arial" w:hAnsi="Arial" w:cs="Arial"/>
          <w:bCs/>
        </w:rPr>
        <w:t xml:space="preserve"> Very interestingly the exotic w</w:t>
      </w:r>
      <w:r w:rsidRPr="00D75709">
        <w:rPr>
          <w:rFonts w:ascii="Arial" w:hAnsi="Arial" w:cs="Arial"/>
        </w:rPr>
        <w:t>hite</w:t>
      </w:r>
      <w:r w:rsidR="00EA3663">
        <w:rPr>
          <w:rFonts w:ascii="Arial" w:hAnsi="Arial" w:cs="Arial"/>
        </w:rPr>
        <w:t>-</w:t>
      </w:r>
      <w:r w:rsidRPr="00D75709">
        <w:rPr>
          <w:rFonts w:ascii="Arial" w:hAnsi="Arial" w:cs="Arial"/>
        </w:rPr>
        <w:t xml:space="preserve">leg shrimp dominates production with 2.2 million tonnes in 2010. Other important species (in the top 20 aquaculture species in the region) include Giant tiger prawn, Chinese mitten crab and Red swamp crawfish. The growth of marine and brackishwater finfish has been rather slow (3% per year 2009-2010) with a production of </w:t>
      </w:r>
      <w:r w:rsidRPr="00D75709">
        <w:rPr>
          <w:rFonts w:ascii="Arial" w:hAnsi="Arial" w:cs="Arial"/>
          <w:bCs/>
        </w:rPr>
        <w:t xml:space="preserve">2.5 million tonnes </w:t>
      </w:r>
      <w:r w:rsidRPr="00D75709">
        <w:rPr>
          <w:rFonts w:ascii="Arial" w:hAnsi="Arial" w:cs="Arial"/>
        </w:rPr>
        <w:t xml:space="preserve">worth $ 7.9 billion in 2010. Major producers include China, Indonesia, Philippines, Japan, Viet Nam, RO Korea &amp; Bangladesh. Diverse species of carnivorous fish contribute </w:t>
      </w:r>
      <w:r w:rsidRPr="00D75709">
        <w:rPr>
          <w:rFonts w:ascii="Arial" w:hAnsi="Arial" w:cs="Arial"/>
          <w:bCs/>
        </w:rPr>
        <w:t xml:space="preserve">1.6 million </w:t>
      </w:r>
      <w:r w:rsidRPr="00D75709">
        <w:rPr>
          <w:rFonts w:ascii="Arial" w:hAnsi="Arial" w:cs="Arial"/>
        </w:rPr>
        <w:t xml:space="preserve">tonnes worth </w:t>
      </w:r>
      <w:r w:rsidRPr="00D75709">
        <w:rPr>
          <w:rFonts w:ascii="Arial" w:hAnsi="Arial" w:cs="Arial"/>
          <w:bCs/>
        </w:rPr>
        <w:t>$ 6.7 billion (</w:t>
      </w:r>
      <w:r w:rsidRPr="00D75709">
        <w:rPr>
          <w:rFonts w:ascii="Arial" w:hAnsi="Arial" w:cs="Arial"/>
        </w:rPr>
        <w:t xml:space="preserve">$ 4.09/kg) while Herbivorous &amp; omnivorous fish species like milkfish contribute  about  </w:t>
      </w:r>
      <w:r w:rsidRPr="00D75709">
        <w:rPr>
          <w:rFonts w:ascii="Arial" w:hAnsi="Arial" w:cs="Arial"/>
          <w:bCs/>
        </w:rPr>
        <w:t xml:space="preserve">800 000 tonnes </w:t>
      </w:r>
      <w:r w:rsidRPr="00D75709">
        <w:rPr>
          <w:rFonts w:ascii="Arial" w:hAnsi="Arial" w:cs="Arial"/>
        </w:rPr>
        <w:t xml:space="preserve">worth </w:t>
      </w:r>
      <w:r w:rsidRPr="00D75709">
        <w:rPr>
          <w:rFonts w:ascii="Arial" w:hAnsi="Arial" w:cs="Arial"/>
          <w:bCs/>
        </w:rPr>
        <w:t xml:space="preserve">$ 1.3 billion </w:t>
      </w:r>
      <w:r w:rsidRPr="00D75709">
        <w:rPr>
          <w:rFonts w:ascii="Arial" w:hAnsi="Arial" w:cs="Arial"/>
        </w:rPr>
        <w:t xml:space="preserve">($ 1.53/kg). The top 10 species produced around the world include grass carp, silver carp, common carp, Nile tilapia, big head carp, crucian carp, Atlantic salmon, rohu and pangasius. During the past decade, three species have become super performers. These include Catla (20 % per </w:t>
      </w:r>
      <w:r w:rsidR="00EA3663" w:rsidRPr="00D75709">
        <w:rPr>
          <w:rFonts w:ascii="Arial" w:hAnsi="Arial" w:cs="Arial"/>
        </w:rPr>
        <w:t>year)</w:t>
      </w:r>
      <w:r w:rsidRPr="00D75709">
        <w:rPr>
          <w:rFonts w:ascii="Arial" w:hAnsi="Arial" w:cs="Arial"/>
        </w:rPr>
        <w:t>, White</w:t>
      </w:r>
      <w:r w:rsidR="00EA3663">
        <w:rPr>
          <w:rFonts w:ascii="Arial" w:hAnsi="Arial" w:cs="Arial"/>
        </w:rPr>
        <w:t>-</w:t>
      </w:r>
      <w:r w:rsidRPr="00D75709">
        <w:rPr>
          <w:rFonts w:ascii="Arial" w:hAnsi="Arial" w:cs="Arial"/>
        </w:rPr>
        <w:t>l</w:t>
      </w:r>
      <w:r w:rsidR="00EA3663">
        <w:rPr>
          <w:rFonts w:ascii="Arial" w:hAnsi="Arial" w:cs="Arial"/>
        </w:rPr>
        <w:t>eg shrimp (99 % per year) and p</w:t>
      </w:r>
      <w:r w:rsidRPr="00D75709">
        <w:rPr>
          <w:rFonts w:ascii="Arial" w:hAnsi="Arial" w:cs="Arial"/>
        </w:rPr>
        <w:t xml:space="preserve">angas catfishes (29% per year). </w:t>
      </w:r>
    </w:p>
    <w:p w:rsidR="008D4950" w:rsidRPr="00D75709" w:rsidRDefault="008D4950" w:rsidP="00D75709">
      <w:pPr>
        <w:spacing w:after="0" w:line="240" w:lineRule="auto"/>
        <w:rPr>
          <w:rFonts w:ascii="Arial" w:hAnsi="Arial" w:cs="Arial"/>
        </w:rPr>
      </w:pPr>
    </w:p>
    <w:p w:rsidR="008D4950" w:rsidRPr="00D75709" w:rsidRDefault="008D4950" w:rsidP="00D75709">
      <w:pPr>
        <w:spacing w:after="0" w:line="240" w:lineRule="auto"/>
        <w:rPr>
          <w:rFonts w:ascii="Arial" w:hAnsi="Arial" w:cs="Arial"/>
        </w:rPr>
      </w:pPr>
      <w:r w:rsidRPr="00847CC2">
        <w:rPr>
          <w:rFonts w:ascii="Arial" w:hAnsi="Arial" w:cs="Arial"/>
          <w:b/>
        </w:rPr>
        <w:t>Issue of small scale</w:t>
      </w:r>
      <w:r>
        <w:rPr>
          <w:rFonts w:ascii="Arial" w:hAnsi="Arial" w:cs="Arial"/>
        </w:rPr>
        <w:t xml:space="preserve">: </w:t>
      </w:r>
      <w:r w:rsidRPr="00D75709">
        <w:rPr>
          <w:rFonts w:ascii="Arial" w:hAnsi="Arial" w:cs="Arial"/>
        </w:rPr>
        <w:t xml:space="preserve">Asian aquaculture is characterized by small-scale family operated farms that are typically less than one hectare in area. Small scale farming in Asia is very important and is a major contributor to production in many countries and therefore major contributor to global fish supplies. This sector is a major source of income and employment for rural communities and critical for rural development, employment and poverty reduction. The small-scale nature of the sector poses special challenges in confronting emerging issues such as globalization, the evolving international trade and maintaining environmental integrity. Aquaculture in Asia Pacific is characterized by huge diversity. Large </w:t>
      </w:r>
      <w:r w:rsidR="00EA3663" w:rsidRPr="00D75709">
        <w:rPr>
          <w:rFonts w:ascii="Arial" w:hAnsi="Arial" w:cs="Arial"/>
        </w:rPr>
        <w:t>numbers of species (over 250) are</w:t>
      </w:r>
      <w:r w:rsidRPr="00D75709">
        <w:rPr>
          <w:rFonts w:ascii="Arial" w:hAnsi="Arial" w:cs="Arial"/>
        </w:rPr>
        <w:t xml:space="preserve"> cultured in several types of culture systems (ponds, cages, tanks, rice-fish systems) at different levels of operation (traditional, extensive, semi-intensive, intensive, </w:t>
      </w:r>
      <w:r w:rsidR="00EA3663" w:rsidRPr="00D75709">
        <w:rPr>
          <w:rFonts w:ascii="Arial" w:hAnsi="Arial" w:cs="Arial"/>
        </w:rPr>
        <w:t>and super</w:t>
      </w:r>
      <w:r w:rsidRPr="00D75709">
        <w:rPr>
          <w:rFonts w:ascii="Arial" w:hAnsi="Arial" w:cs="Arial"/>
        </w:rPr>
        <w:t xml:space="preserve">-intensive). On the issue of small versus large scale aquaculture there is no statistics on relative importance. Small-scale farmers dominate Asia-Pacific aquaculture by number but large-scale farms are likely to contribute most to total national production. In terms of support, both sectors need support since there </w:t>
      </w:r>
      <w:r w:rsidR="00EA3663" w:rsidRPr="00D75709">
        <w:rPr>
          <w:rFonts w:ascii="Arial" w:hAnsi="Arial" w:cs="Arial"/>
        </w:rPr>
        <w:t>are limits</w:t>
      </w:r>
      <w:r w:rsidRPr="00D75709">
        <w:rPr>
          <w:rFonts w:ascii="Arial" w:hAnsi="Arial" w:cs="Arial"/>
        </w:rPr>
        <w:t xml:space="preserve"> on land and water resources so need to intensify. In addition, small-scale farming households are driven by need to increase    household income so sustainable aquaculture for income generation is becoming more important rather than subsistence as in past donor projects. </w:t>
      </w:r>
    </w:p>
    <w:p w:rsidR="008D4950" w:rsidRPr="00D75709" w:rsidRDefault="008D4950" w:rsidP="00D75709">
      <w:pPr>
        <w:spacing w:after="0" w:line="240" w:lineRule="auto"/>
        <w:rPr>
          <w:rFonts w:ascii="Arial" w:hAnsi="Arial" w:cs="Arial"/>
        </w:rPr>
      </w:pPr>
    </w:p>
    <w:p w:rsidR="008D4950" w:rsidRPr="00D75709" w:rsidRDefault="008D4950" w:rsidP="00D75709">
      <w:pPr>
        <w:rPr>
          <w:rFonts w:ascii="Arial" w:hAnsi="Arial" w:cs="Arial"/>
        </w:rPr>
      </w:pPr>
      <w:r>
        <w:rPr>
          <w:rFonts w:ascii="Arial" w:hAnsi="Arial" w:cs="Arial"/>
          <w:b/>
        </w:rPr>
        <w:t xml:space="preserve">Key </w:t>
      </w:r>
      <w:r w:rsidRPr="00847CC2">
        <w:rPr>
          <w:rFonts w:ascii="Arial" w:hAnsi="Arial" w:cs="Arial"/>
          <w:b/>
        </w:rPr>
        <w:t>Challenges</w:t>
      </w:r>
      <w:r>
        <w:rPr>
          <w:rFonts w:ascii="Arial" w:hAnsi="Arial" w:cs="Arial"/>
        </w:rPr>
        <w:t xml:space="preserve">: </w:t>
      </w:r>
      <w:r w:rsidRPr="00D75709">
        <w:rPr>
          <w:rFonts w:ascii="Arial" w:hAnsi="Arial" w:cs="Arial"/>
        </w:rPr>
        <w:t xml:space="preserve">There are several challenges that </w:t>
      </w:r>
      <w:r w:rsidR="00EA3663" w:rsidRPr="00D75709">
        <w:rPr>
          <w:rFonts w:ascii="Arial" w:hAnsi="Arial" w:cs="Arial"/>
        </w:rPr>
        <w:t>need</w:t>
      </w:r>
      <w:r w:rsidRPr="00D75709">
        <w:rPr>
          <w:rFonts w:ascii="Arial" w:hAnsi="Arial" w:cs="Arial"/>
        </w:rPr>
        <w:t xml:space="preserve"> to be addressed to promote responsible and sustainable aquaculture in the region. According to t</w:t>
      </w:r>
      <w:r w:rsidR="00EA3663">
        <w:rPr>
          <w:rFonts w:ascii="Arial" w:hAnsi="Arial" w:cs="Arial"/>
        </w:rPr>
        <w:t>he European Commission report “</w:t>
      </w:r>
      <w:r w:rsidRPr="00D75709">
        <w:rPr>
          <w:rFonts w:ascii="Arial" w:hAnsi="Arial" w:cs="Arial"/>
        </w:rPr>
        <w:t>The World in 2025. Rising Asia and Socio-eco</w:t>
      </w:r>
      <w:r w:rsidR="00EA3663">
        <w:rPr>
          <w:rFonts w:ascii="Arial" w:hAnsi="Arial" w:cs="Arial"/>
        </w:rPr>
        <w:t xml:space="preserve">logical transition (2009)” the </w:t>
      </w:r>
      <w:r w:rsidRPr="00D75709">
        <w:rPr>
          <w:rFonts w:ascii="Arial" w:hAnsi="Arial" w:cs="Arial"/>
        </w:rPr>
        <w:t xml:space="preserve">World population will be </w:t>
      </w:r>
      <w:r>
        <w:rPr>
          <w:rFonts w:ascii="Arial" w:hAnsi="Arial" w:cs="Arial"/>
        </w:rPr>
        <w:t>9</w:t>
      </w:r>
      <w:r w:rsidRPr="00D75709">
        <w:rPr>
          <w:rFonts w:ascii="Arial" w:hAnsi="Arial" w:cs="Arial"/>
        </w:rPr>
        <w:t xml:space="preserve"> billion with 2/3 of it in Asia,   more than 50% of population will be in cities, Asia will contribute to more than 30% of global GDP, there will be large rising middle class, Asia will become the main destination for location of business R&amp;D and all this will be putting tremendous pressure on the already scarce natural resources. The root problem is going to be food security: the challenge of feeding 9 billion people. The</w:t>
      </w:r>
      <w:r w:rsidR="00EA3663">
        <w:rPr>
          <w:rFonts w:ascii="Arial" w:hAnsi="Arial" w:cs="Arial"/>
        </w:rPr>
        <w:t xml:space="preserve"> challenge will be three-fold; </w:t>
      </w:r>
      <w:r w:rsidRPr="00D75709">
        <w:rPr>
          <w:rFonts w:ascii="Arial" w:hAnsi="Arial" w:cs="Arial"/>
        </w:rPr>
        <w:t>(a)     meet demand for food from rapidly increasing and more affluent population (b) do so in environmentally and socially sustainable ways and (c) ensure that world’s poorest people do not go hungry.  The main challenges for Asian aquaculture include</w:t>
      </w:r>
      <w:r w:rsidR="00EA3663">
        <w:rPr>
          <w:rFonts w:ascii="Arial" w:hAnsi="Arial" w:cs="Arial"/>
        </w:rPr>
        <w:t>:</w:t>
      </w:r>
      <w:r w:rsidRPr="00D75709">
        <w:rPr>
          <w:rFonts w:ascii="Arial" w:hAnsi="Arial" w:cs="Arial"/>
        </w:rPr>
        <w:t xml:space="preserve"> sustainably </w:t>
      </w:r>
      <w:r w:rsidR="00EA3663" w:rsidRPr="00D75709">
        <w:rPr>
          <w:rFonts w:ascii="Arial" w:hAnsi="Arial" w:cs="Arial"/>
        </w:rPr>
        <w:t>intensifying</w:t>
      </w:r>
      <w:r w:rsidRPr="00D75709">
        <w:rPr>
          <w:rFonts w:ascii="Arial" w:hAnsi="Arial" w:cs="Arial"/>
        </w:rPr>
        <w:t xml:space="preserve"> aquaculture with declining natural resources in the more developed and lesser developed countries of Asia, to improve livelihoods along the entire value chain, to contribute towards national food security in Asia and to export an increasing amount of food to the rest of the world. </w:t>
      </w:r>
    </w:p>
    <w:p w:rsidR="008D4950" w:rsidRPr="00D75709" w:rsidRDefault="008D4950" w:rsidP="00D75709">
      <w:pPr>
        <w:rPr>
          <w:rFonts w:ascii="Arial" w:hAnsi="Arial" w:cs="Arial"/>
        </w:rPr>
      </w:pPr>
      <w:r w:rsidRPr="00847CC2">
        <w:rPr>
          <w:rFonts w:ascii="Arial" w:hAnsi="Arial" w:cs="Arial"/>
          <w:b/>
        </w:rPr>
        <w:t>Intervention Opportunities</w:t>
      </w:r>
      <w:r>
        <w:rPr>
          <w:rFonts w:ascii="Arial" w:hAnsi="Arial" w:cs="Arial"/>
        </w:rPr>
        <w:t xml:space="preserve">: </w:t>
      </w:r>
      <w:r w:rsidRPr="00D75709">
        <w:rPr>
          <w:rFonts w:ascii="Arial" w:hAnsi="Arial" w:cs="Arial"/>
        </w:rPr>
        <w:t xml:space="preserve">To meet these challenges, interventions developed based on science and socio-economic considerations and supported by national and international institutions will be urgently required to be applied. Some of the specific challenges to responsible and sustainable aquaculture and intervention opportunities are summarized in the following table. </w:t>
      </w:r>
    </w:p>
    <w:tbl>
      <w:tblPr>
        <w:tblStyle w:val="TableGrid"/>
        <w:tblW w:w="0" w:type="auto"/>
        <w:tblLook w:val="04A0"/>
      </w:tblPr>
      <w:tblGrid>
        <w:gridCol w:w="2808"/>
        <w:gridCol w:w="6768"/>
      </w:tblGrid>
      <w:tr w:rsidR="008D4950" w:rsidRPr="00D75709">
        <w:tc>
          <w:tcPr>
            <w:tcW w:w="2808" w:type="dxa"/>
          </w:tcPr>
          <w:p w:rsidR="008D4950" w:rsidRPr="00D75709" w:rsidRDefault="008D4950" w:rsidP="00D75709">
            <w:pPr>
              <w:rPr>
                <w:rFonts w:ascii="Arial" w:hAnsi="Arial" w:cs="Arial"/>
                <w:b/>
              </w:rPr>
            </w:pPr>
            <w:r w:rsidRPr="00D75709">
              <w:rPr>
                <w:rFonts w:ascii="Arial" w:hAnsi="Arial" w:cs="Arial"/>
                <w:b/>
              </w:rPr>
              <w:t>Challenges</w:t>
            </w:r>
          </w:p>
        </w:tc>
        <w:tc>
          <w:tcPr>
            <w:tcW w:w="6768" w:type="dxa"/>
          </w:tcPr>
          <w:p w:rsidR="008D4950" w:rsidRPr="00D75709" w:rsidRDefault="008D4950" w:rsidP="00D75709">
            <w:pPr>
              <w:rPr>
                <w:rFonts w:ascii="Arial" w:hAnsi="Arial" w:cs="Arial"/>
                <w:b/>
              </w:rPr>
            </w:pPr>
            <w:r w:rsidRPr="00D75709">
              <w:rPr>
                <w:rFonts w:ascii="Arial" w:hAnsi="Arial" w:cs="Arial"/>
                <w:b/>
              </w:rPr>
              <w:t>Intervention Opportunities</w:t>
            </w:r>
          </w:p>
        </w:tc>
      </w:tr>
      <w:tr w:rsidR="008D4950" w:rsidRPr="00D75709">
        <w:tc>
          <w:tcPr>
            <w:tcW w:w="2808" w:type="dxa"/>
          </w:tcPr>
          <w:p w:rsidR="008D4950" w:rsidRPr="00D75709" w:rsidRDefault="008D4950" w:rsidP="00D75709">
            <w:pPr>
              <w:rPr>
                <w:rFonts w:ascii="Arial" w:hAnsi="Arial" w:cs="Arial"/>
              </w:rPr>
            </w:pPr>
            <w:r w:rsidRPr="00D75709">
              <w:rPr>
                <w:rFonts w:ascii="Arial" w:hAnsi="Arial" w:cs="Arial"/>
              </w:rPr>
              <w:t>Environment integrity</w:t>
            </w:r>
          </w:p>
        </w:tc>
        <w:tc>
          <w:tcPr>
            <w:tcW w:w="6768" w:type="dxa"/>
          </w:tcPr>
          <w:p w:rsidR="008D4950" w:rsidRPr="00D75709" w:rsidRDefault="008D4950" w:rsidP="008D4950">
            <w:pPr>
              <w:numPr>
                <w:ilvl w:val="0"/>
                <w:numId w:val="44"/>
              </w:numPr>
              <w:spacing w:after="0" w:line="240" w:lineRule="auto"/>
              <w:rPr>
                <w:rFonts w:ascii="Arial" w:hAnsi="Arial" w:cs="Arial"/>
                <w:bCs/>
              </w:rPr>
            </w:pPr>
            <w:r w:rsidRPr="00D75709">
              <w:rPr>
                <w:rFonts w:ascii="Arial" w:hAnsi="Arial" w:cs="Arial"/>
                <w:bCs/>
                <w:lang w:val="en-AU"/>
              </w:rPr>
              <w:t>National legislation and policies</w:t>
            </w:r>
          </w:p>
          <w:p w:rsidR="008D4950" w:rsidRPr="00D75709" w:rsidRDefault="008D4950" w:rsidP="008D4950">
            <w:pPr>
              <w:numPr>
                <w:ilvl w:val="0"/>
                <w:numId w:val="44"/>
              </w:numPr>
              <w:spacing w:after="0" w:line="240" w:lineRule="auto"/>
              <w:rPr>
                <w:rFonts w:ascii="Arial" w:hAnsi="Arial" w:cs="Arial"/>
                <w:bCs/>
                <w:lang w:val="en-AU"/>
              </w:rPr>
            </w:pPr>
            <w:r w:rsidRPr="00D75709">
              <w:rPr>
                <w:rFonts w:ascii="Arial" w:hAnsi="Arial" w:cs="Arial"/>
                <w:bCs/>
                <w:lang w:val="en-AU"/>
              </w:rPr>
              <w:t>EIA, BMPs, Certification</w:t>
            </w:r>
          </w:p>
        </w:tc>
      </w:tr>
      <w:tr w:rsidR="008D4950" w:rsidRPr="00D75709">
        <w:tc>
          <w:tcPr>
            <w:tcW w:w="2808" w:type="dxa"/>
          </w:tcPr>
          <w:p w:rsidR="008D4950" w:rsidRPr="00D75709" w:rsidRDefault="008D4950" w:rsidP="00D75709">
            <w:pPr>
              <w:rPr>
                <w:rFonts w:ascii="Arial" w:hAnsi="Arial" w:cs="Arial"/>
              </w:rPr>
            </w:pPr>
            <w:r w:rsidRPr="00D75709">
              <w:rPr>
                <w:rFonts w:ascii="Arial" w:hAnsi="Arial" w:cs="Arial"/>
              </w:rPr>
              <w:t>Food safety</w:t>
            </w:r>
          </w:p>
        </w:tc>
        <w:tc>
          <w:tcPr>
            <w:tcW w:w="6768" w:type="dxa"/>
          </w:tcPr>
          <w:p w:rsidR="008D4950" w:rsidRPr="00D75709" w:rsidRDefault="008D4950" w:rsidP="008D4950">
            <w:pPr>
              <w:numPr>
                <w:ilvl w:val="0"/>
                <w:numId w:val="44"/>
              </w:numPr>
              <w:spacing w:after="0" w:line="240" w:lineRule="auto"/>
              <w:rPr>
                <w:rFonts w:ascii="Arial" w:hAnsi="Arial" w:cs="Arial"/>
                <w:bCs/>
              </w:rPr>
            </w:pPr>
            <w:r w:rsidRPr="00D75709">
              <w:rPr>
                <w:rFonts w:ascii="Arial" w:hAnsi="Arial" w:cs="Arial"/>
                <w:bCs/>
                <w:lang w:val="en-AU"/>
              </w:rPr>
              <w:t>Responsible use of approved drugs and chemicals</w:t>
            </w:r>
          </w:p>
          <w:p w:rsidR="008D4950" w:rsidRPr="00D75709" w:rsidRDefault="008D4950" w:rsidP="008D4950">
            <w:pPr>
              <w:numPr>
                <w:ilvl w:val="0"/>
                <w:numId w:val="44"/>
              </w:numPr>
              <w:spacing w:after="0" w:line="240" w:lineRule="auto"/>
              <w:rPr>
                <w:rFonts w:ascii="Arial" w:hAnsi="Arial" w:cs="Arial"/>
                <w:bCs/>
                <w:lang w:val="en-AU"/>
              </w:rPr>
            </w:pPr>
            <w:r w:rsidRPr="00D75709">
              <w:rPr>
                <w:rFonts w:ascii="Arial" w:hAnsi="Arial" w:cs="Arial"/>
                <w:bCs/>
                <w:lang w:val="en-AU"/>
              </w:rPr>
              <w:t>BMPs, compliance to Codex, certification</w:t>
            </w:r>
          </w:p>
        </w:tc>
      </w:tr>
      <w:tr w:rsidR="008D4950" w:rsidRPr="00D75709">
        <w:tc>
          <w:tcPr>
            <w:tcW w:w="2808" w:type="dxa"/>
          </w:tcPr>
          <w:p w:rsidR="008D4950" w:rsidRPr="00D75709" w:rsidRDefault="008D4950" w:rsidP="00D75709">
            <w:pPr>
              <w:rPr>
                <w:rFonts w:ascii="Arial" w:hAnsi="Arial" w:cs="Arial"/>
              </w:rPr>
            </w:pPr>
            <w:r w:rsidRPr="00D75709">
              <w:rPr>
                <w:rFonts w:ascii="Arial" w:hAnsi="Arial" w:cs="Arial"/>
              </w:rPr>
              <w:t>Over intensification</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Promoting sustainable intensification</w:t>
            </w:r>
          </w:p>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Use of aquaculture planning and management tools</w:t>
            </w:r>
          </w:p>
        </w:tc>
      </w:tr>
      <w:tr w:rsidR="008D4950" w:rsidRPr="00D75709">
        <w:tc>
          <w:tcPr>
            <w:tcW w:w="2808" w:type="dxa"/>
          </w:tcPr>
          <w:p w:rsidR="008D4950" w:rsidRPr="00D75709" w:rsidRDefault="008D4950" w:rsidP="00D75709">
            <w:pPr>
              <w:rPr>
                <w:rFonts w:ascii="Arial" w:hAnsi="Arial" w:cs="Arial"/>
              </w:rPr>
            </w:pPr>
            <w:r w:rsidRPr="00D75709">
              <w:rPr>
                <w:rFonts w:ascii="Arial" w:hAnsi="Arial" w:cs="Arial"/>
              </w:rPr>
              <w:t>Use of Alien species</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Responsible use of alien species</w:t>
            </w:r>
          </w:p>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 xml:space="preserve">Regional study on </w:t>
            </w:r>
            <w:r w:rsidRPr="00D75709">
              <w:rPr>
                <w:rFonts w:ascii="Arial" w:hAnsi="Arial" w:cs="Arial"/>
                <w:bCs/>
                <w:i/>
                <w:iCs/>
                <w:lang w:val="en-AU"/>
              </w:rPr>
              <w:t>P.vannamei</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Mangrove clearance</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National legislation</w:t>
            </w:r>
          </w:p>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Supporting  compliance to public/private certification</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Effluent discharge</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Supporting BMPs, compliance to national/international requirements</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Excessive use of fish meal and oil</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Regional studies on strategies to reduce dependence</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Disease emergence and spread</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Regional biosecurity programs with focus on risk analysis, surveillance and contingency planning</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Market access and aquaculture certification</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Small farmer inclusive certification programs</w:t>
            </w:r>
          </w:p>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Benchmarking and equivalence of public and private  certification programs</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Empowering small farmers</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Development and promotion of BMP implementation through farmer groups/cluster management</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Seed and brood stock quality</w:t>
            </w:r>
          </w:p>
        </w:tc>
        <w:tc>
          <w:tcPr>
            <w:tcW w:w="6768" w:type="dxa"/>
          </w:tcPr>
          <w:p w:rsidR="008D4950" w:rsidRPr="00D75709" w:rsidRDefault="008D4950" w:rsidP="008D4950">
            <w:pPr>
              <w:numPr>
                <w:ilvl w:val="0"/>
                <w:numId w:val="44"/>
              </w:numPr>
              <w:spacing w:after="0" w:line="240" w:lineRule="auto"/>
              <w:rPr>
                <w:rFonts w:ascii="Arial" w:hAnsi="Arial" w:cs="Arial"/>
              </w:rPr>
            </w:pPr>
            <w:r w:rsidRPr="00D75709">
              <w:rPr>
                <w:rFonts w:ascii="Arial" w:hAnsi="Arial" w:cs="Arial"/>
                <w:bCs/>
                <w:lang w:val="en-AU"/>
              </w:rPr>
              <w:t>Regional domestication programs for key species</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Wild seed and wild broodstock</w:t>
            </w:r>
          </w:p>
        </w:tc>
        <w:tc>
          <w:tcPr>
            <w:tcW w:w="6768" w:type="dxa"/>
          </w:tcPr>
          <w:p w:rsidR="008D4950" w:rsidRPr="00D75709" w:rsidRDefault="008D4950" w:rsidP="008D4950">
            <w:pPr>
              <w:pStyle w:val="ListParagraph"/>
              <w:numPr>
                <w:ilvl w:val="0"/>
                <w:numId w:val="44"/>
              </w:numPr>
              <w:spacing w:after="0" w:line="240" w:lineRule="auto"/>
              <w:rPr>
                <w:rFonts w:ascii="Arial" w:hAnsi="Arial" w:cs="Arial"/>
              </w:rPr>
            </w:pPr>
            <w:r w:rsidRPr="00D75709">
              <w:rPr>
                <w:rFonts w:ascii="Arial" w:hAnsi="Arial" w:cs="Arial"/>
                <w:bCs/>
                <w:lang w:val="en-AU"/>
              </w:rPr>
              <w:t>Hatchery and broodstock management programs</w:t>
            </w:r>
          </w:p>
        </w:tc>
      </w:tr>
      <w:tr w:rsidR="008D4950" w:rsidRPr="00D75709">
        <w:tc>
          <w:tcPr>
            <w:tcW w:w="2808" w:type="dxa"/>
          </w:tcPr>
          <w:p w:rsidR="008D4950" w:rsidRPr="00D75709" w:rsidRDefault="008D4950" w:rsidP="00E47FA8">
            <w:pPr>
              <w:jc w:val="left"/>
              <w:rPr>
                <w:rFonts w:ascii="Arial" w:hAnsi="Arial" w:cs="Arial"/>
              </w:rPr>
            </w:pPr>
            <w:r w:rsidRPr="00D75709">
              <w:rPr>
                <w:rFonts w:ascii="Arial" w:hAnsi="Arial" w:cs="Arial"/>
              </w:rPr>
              <w:t>Climate change</w:t>
            </w:r>
          </w:p>
        </w:tc>
        <w:tc>
          <w:tcPr>
            <w:tcW w:w="6768" w:type="dxa"/>
          </w:tcPr>
          <w:p w:rsidR="008D4950" w:rsidRPr="00D75709" w:rsidRDefault="008D4950" w:rsidP="008D4950">
            <w:pPr>
              <w:pStyle w:val="ListParagraph"/>
              <w:numPr>
                <w:ilvl w:val="0"/>
                <w:numId w:val="44"/>
              </w:numPr>
              <w:spacing w:after="0" w:line="240" w:lineRule="auto"/>
              <w:rPr>
                <w:rFonts w:ascii="Arial" w:hAnsi="Arial" w:cs="Arial"/>
              </w:rPr>
            </w:pPr>
            <w:r w:rsidRPr="00D75709">
              <w:rPr>
                <w:rFonts w:ascii="Arial" w:hAnsi="Arial" w:cs="Arial"/>
              </w:rPr>
              <w:t xml:space="preserve">Vulnerability assessments, mitigation strategies </w:t>
            </w:r>
          </w:p>
        </w:tc>
      </w:tr>
    </w:tbl>
    <w:p w:rsidR="008D4950" w:rsidRPr="00D75709" w:rsidRDefault="008D4950" w:rsidP="00D75709">
      <w:pPr>
        <w:rPr>
          <w:rFonts w:ascii="Arial" w:hAnsi="Arial" w:cs="Arial"/>
        </w:rPr>
      </w:pPr>
    </w:p>
    <w:p w:rsidR="008D4950" w:rsidRPr="00D75709" w:rsidRDefault="008D4950" w:rsidP="00D75709">
      <w:pPr>
        <w:rPr>
          <w:rFonts w:ascii="Arial" w:hAnsi="Arial" w:cs="Arial"/>
        </w:rPr>
      </w:pPr>
      <w:r w:rsidRPr="00847CC2">
        <w:rPr>
          <w:rFonts w:ascii="Arial" w:hAnsi="Arial" w:cs="Arial"/>
          <w:b/>
        </w:rPr>
        <w:t>Support required</w:t>
      </w:r>
      <w:r>
        <w:rPr>
          <w:rFonts w:ascii="Arial" w:hAnsi="Arial" w:cs="Arial"/>
        </w:rPr>
        <w:t xml:space="preserve">: </w:t>
      </w:r>
      <w:r w:rsidRPr="00D75709">
        <w:rPr>
          <w:rFonts w:ascii="Arial" w:hAnsi="Arial" w:cs="Arial"/>
        </w:rPr>
        <w:t>Technical, financial and advisory support is required to address the above challenges and apply the interventions. Such support should primarily fall under 4 broad categories</w:t>
      </w:r>
      <w:r>
        <w:rPr>
          <w:rFonts w:ascii="Arial" w:hAnsi="Arial" w:cs="Arial"/>
        </w:rPr>
        <w:t xml:space="preserve">. </w:t>
      </w:r>
      <w:r w:rsidRPr="00D75709">
        <w:rPr>
          <w:rFonts w:ascii="Arial" w:hAnsi="Arial" w:cs="Arial"/>
          <w:b/>
        </w:rPr>
        <w:t>1. Support least developed countries in Asia Pacific</w:t>
      </w:r>
      <w:r w:rsidRPr="00D75709">
        <w:rPr>
          <w:rFonts w:ascii="Arial" w:hAnsi="Arial" w:cs="Arial"/>
        </w:rPr>
        <w:t xml:space="preserve"> (Bangladesh, Cambodia, Lao PDR, Myanmar and Nepal). Fisheries and aquaculture is important in all the above LDC and they need a major push and priority support</w:t>
      </w:r>
      <w:r>
        <w:rPr>
          <w:rFonts w:ascii="Arial" w:hAnsi="Arial" w:cs="Arial"/>
        </w:rPr>
        <w:t xml:space="preserve">. </w:t>
      </w:r>
      <w:r w:rsidRPr="00D75709">
        <w:rPr>
          <w:rFonts w:ascii="Arial" w:hAnsi="Arial" w:cs="Arial"/>
          <w:b/>
        </w:rPr>
        <w:t>2. Support aquaculture for poverty alleviation</w:t>
      </w:r>
      <w:r w:rsidRPr="00D75709">
        <w:rPr>
          <w:rFonts w:ascii="Arial" w:hAnsi="Arial" w:cs="Arial"/>
        </w:rPr>
        <w:t xml:space="preserve">. Previous donor support for small-scale aquaculture (SSA) was mainly for subsistence but farmers seek increased income. Thus SSA needs to provide a significant source of income and be a small and medium enterprise (SME). Considerable poverty alleviation is possible through large-scale aquaculture through employment </w:t>
      </w:r>
      <w:r w:rsidR="00EA3663" w:rsidRPr="00D75709">
        <w:rPr>
          <w:rFonts w:ascii="Arial" w:hAnsi="Arial" w:cs="Arial"/>
        </w:rPr>
        <w:t>(large</w:t>
      </w:r>
      <w:r w:rsidRPr="00D75709">
        <w:rPr>
          <w:rFonts w:ascii="Arial" w:hAnsi="Arial" w:cs="Arial"/>
        </w:rPr>
        <w:t>-scale farms</w:t>
      </w:r>
      <w:r w:rsidR="00EA3663" w:rsidRPr="00D75709">
        <w:rPr>
          <w:rFonts w:ascii="Arial" w:hAnsi="Arial" w:cs="Arial"/>
        </w:rPr>
        <w:t>, value</w:t>
      </w:r>
      <w:r w:rsidRPr="00D75709">
        <w:rPr>
          <w:rFonts w:ascii="Arial" w:hAnsi="Arial" w:cs="Arial"/>
        </w:rPr>
        <w:t xml:space="preserve"> chain development e.g. input supply, processing and marketing).</w:t>
      </w:r>
      <w:r>
        <w:rPr>
          <w:rFonts w:ascii="Arial" w:hAnsi="Arial" w:cs="Arial"/>
        </w:rPr>
        <w:t xml:space="preserve"> </w:t>
      </w:r>
      <w:r w:rsidRPr="00D75709">
        <w:rPr>
          <w:rFonts w:ascii="Arial" w:hAnsi="Arial" w:cs="Arial"/>
          <w:b/>
        </w:rPr>
        <w:t>3. Support aquaculture to diversify livelihoods of small farmers and fishers</w:t>
      </w:r>
      <w:r w:rsidRPr="00D75709">
        <w:rPr>
          <w:rFonts w:ascii="Arial" w:hAnsi="Arial" w:cs="Arial"/>
        </w:rPr>
        <w:t xml:space="preserve">.  Aquaculture is the best entry point for poor farmers and fishers </w:t>
      </w:r>
      <w:r w:rsidR="00EA3663" w:rsidRPr="00D75709">
        <w:rPr>
          <w:rFonts w:ascii="Arial" w:hAnsi="Arial" w:cs="Arial"/>
        </w:rPr>
        <w:t>to farm</w:t>
      </w:r>
      <w:r w:rsidRPr="00D75709">
        <w:rPr>
          <w:rFonts w:ascii="Arial" w:hAnsi="Arial" w:cs="Arial"/>
        </w:rPr>
        <w:t xml:space="preserve"> fish mainly because of its relatively low cost, minimal risk and aquaculture forms the first step on ladder of intensification i.e. to gain experience and confidence before intensifying</w:t>
      </w:r>
      <w:r>
        <w:rPr>
          <w:rFonts w:ascii="Arial" w:hAnsi="Arial" w:cs="Arial"/>
        </w:rPr>
        <w:t xml:space="preserve">. </w:t>
      </w:r>
      <w:r w:rsidRPr="00D75709">
        <w:rPr>
          <w:rFonts w:ascii="Arial" w:hAnsi="Arial" w:cs="Arial"/>
          <w:b/>
        </w:rPr>
        <w:t>4. Support south-south cooperation</w:t>
      </w:r>
      <w:r w:rsidRPr="00D75709">
        <w:rPr>
          <w:rFonts w:ascii="Arial" w:hAnsi="Arial" w:cs="Arial"/>
        </w:rPr>
        <w:t xml:space="preserve">. Within Asia-Pacific region between more developed to least developed countries by  assessing  ‘what has worked where’ in more developed     countries (a) and ‘where there is a need for similar systems’ in less developed countries (b) </w:t>
      </w:r>
      <w:r w:rsidR="00EA3663" w:rsidRPr="00D75709">
        <w:rPr>
          <w:rFonts w:ascii="Arial" w:hAnsi="Arial" w:cs="Arial"/>
        </w:rPr>
        <w:t>transfer</w:t>
      </w:r>
      <w:r w:rsidRPr="00D75709">
        <w:rPr>
          <w:rFonts w:ascii="Arial" w:hAnsi="Arial" w:cs="Arial"/>
        </w:rPr>
        <w:t xml:space="preserve"> from (a) and adapt to local physical and socio-economic conditions in (b). Similar cooperation between Asia-Pacific region and sub-Saharan Africa has great potential</w:t>
      </w:r>
    </w:p>
    <w:p w:rsidR="008D4950" w:rsidRPr="00D75709" w:rsidRDefault="008D4950" w:rsidP="00D75709">
      <w:pPr>
        <w:rPr>
          <w:rFonts w:ascii="Arial" w:hAnsi="Arial" w:cs="Arial"/>
        </w:rPr>
      </w:pPr>
      <w:r w:rsidRPr="00847CC2">
        <w:rPr>
          <w:rFonts w:ascii="Arial" w:hAnsi="Arial" w:cs="Arial"/>
          <w:b/>
        </w:rPr>
        <w:t>To conclude</w:t>
      </w:r>
      <w:r w:rsidRPr="00D75709">
        <w:rPr>
          <w:rFonts w:ascii="Arial" w:hAnsi="Arial" w:cs="Arial"/>
        </w:rPr>
        <w:t>, NACA recognizes the commitment of Norway to support needy governments in Asia Pacific through its donor programs, embassies, national institutions and private sector. NACA with its track record and vast network of regional resources looks forward to partnering and collaborating with Norway to support needy governments in the region in their efforts to promote responsible and sustainable aquaculture.</w:t>
      </w:r>
    </w:p>
    <w:p w:rsidR="008D4950" w:rsidRPr="00EA7CD3" w:rsidRDefault="008D4950" w:rsidP="00EA7CD3"/>
    <w:p w:rsidR="008D4950" w:rsidRPr="00EA7CD3" w:rsidRDefault="008D4950" w:rsidP="00EA7CD3"/>
    <w:p w:rsidR="008D4950" w:rsidRPr="00491891" w:rsidRDefault="008D4950" w:rsidP="00491891"/>
    <w:p w:rsidR="008D4950" w:rsidRPr="00A8331E" w:rsidRDefault="008D4950" w:rsidP="00E47FA8">
      <w:pPr>
        <w:rPr>
          <w:rFonts w:asciiTheme="minorHAnsi" w:eastAsiaTheme="minorHAnsi" w:hAnsiTheme="minorHAnsi" w:cstheme="minorBidi"/>
          <w:b/>
          <w:bCs/>
          <w:sz w:val="28"/>
          <w:szCs w:val="28"/>
          <w:lang w:val="en-US" w:eastAsia="en-US" w:bidi="th-TH"/>
        </w:rPr>
      </w:pPr>
    </w:p>
    <w:sectPr w:rsidR="008D4950" w:rsidRPr="00A8331E" w:rsidSect="000A595A">
      <w:footerReference w:type="default" r:id="rId9"/>
      <w:pgSz w:w="11906" w:h="16838"/>
      <w:pgMar w:top="1008" w:right="1016"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608" w:rsidRDefault="00442608" w:rsidP="00DB0D3D">
      <w:r>
        <w:separator/>
      </w:r>
    </w:p>
  </w:endnote>
  <w:endnote w:type="continuationSeparator" w:id="0">
    <w:p w:rsidR="00442608" w:rsidRDefault="00442608" w:rsidP="00DB0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Angsana New">
    <w:charset w:val="00"/>
    <w:family w:val="roman"/>
    <w:pitch w:val="variable"/>
    <w:sig w:usb0="81000003" w:usb1="00000000" w:usb2="00000000" w:usb3="00000000" w:csb0="00010001" w:csb1="00000000"/>
  </w:font>
  <w:font w:name="Cordia New">
    <w:charset w:val="00"/>
    <w:family w:val="swiss"/>
    <w:pitch w:val="variable"/>
    <w:sig w:usb0="81000003" w:usb1="00000000" w:usb2="00000000" w:usb3="00000000" w:csb0="0001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E96" w:rsidRDefault="008D7E96" w:rsidP="008D7E96">
    <w:pPr>
      <w:pStyle w:val="Footer"/>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NACA – </w:t>
    </w:r>
    <w:r w:rsidR="00A8331E">
      <w:rPr>
        <w:rFonts w:asciiTheme="majorHAnsi" w:eastAsiaTheme="majorEastAsia" w:hAnsiTheme="majorHAnsi" w:cstheme="majorBidi"/>
      </w:rPr>
      <w:t xml:space="preserve">Presentation at Regional Seminar on Aquaculture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fldSimple w:instr=" PAGE   \* MERGEFORMAT ">
      <w:r w:rsidR="00CA6E8C" w:rsidRPr="00CA6E8C">
        <w:rPr>
          <w:rFonts w:asciiTheme="majorHAnsi" w:eastAsiaTheme="majorEastAsia" w:hAnsiTheme="majorHAnsi" w:cstheme="majorBidi"/>
          <w:noProof/>
        </w:rPr>
        <w:t>1</w:t>
      </w:r>
    </w:fldSimple>
    <w:r>
      <w:rPr>
        <w:rFonts w:asciiTheme="majorHAnsi" w:eastAsiaTheme="majorEastAsia" w:hAnsiTheme="majorHAnsi" w:cstheme="majorBidi"/>
        <w:noProof/>
      </w:rPr>
      <w:t xml:space="preserve"> of </w:t>
    </w:r>
    <w:r w:rsidR="008D4950">
      <w:rPr>
        <w:rFonts w:asciiTheme="majorHAnsi" w:eastAsiaTheme="majorEastAsia" w:hAnsiTheme="majorHAnsi" w:cstheme="majorBidi"/>
        <w:noProof/>
      </w:rPr>
      <w:t>4</w:t>
    </w:r>
  </w:p>
  <w:p w:rsidR="00A41DEE" w:rsidRDefault="00A41DEE" w:rsidP="001E402D">
    <w:pPr>
      <w:pStyle w:val="Footer"/>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608" w:rsidRDefault="00442608" w:rsidP="00DB0D3D">
      <w:r>
        <w:separator/>
      </w:r>
    </w:p>
  </w:footnote>
  <w:footnote w:type="continuationSeparator" w:id="0">
    <w:p w:rsidR="00442608" w:rsidRDefault="00442608" w:rsidP="00DB0D3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63955"/>
    <w:multiLevelType w:val="hybridMultilevel"/>
    <w:tmpl w:val="848C7680"/>
    <w:lvl w:ilvl="0" w:tplc="2320E464">
      <w:start w:val="1"/>
      <w:numFmt w:val="decimal"/>
      <w:lvlText w:val="%1."/>
      <w:lvlJc w:val="left"/>
      <w:pPr>
        <w:ind w:left="360" w:hanging="360"/>
      </w:pPr>
      <w:rPr>
        <w:rFonts w:hint="default"/>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CEA0BEF"/>
    <w:multiLevelType w:val="hybridMultilevel"/>
    <w:tmpl w:val="DC146E30"/>
    <w:lvl w:ilvl="0" w:tplc="919CB672">
      <w:numFmt w:val="bullet"/>
      <w:lvlText w:val="-"/>
      <w:lvlJc w:val="left"/>
      <w:pPr>
        <w:ind w:left="3240" w:hanging="360"/>
      </w:pPr>
      <w:rPr>
        <w:rFonts w:ascii="Calibri" w:eastAsia="Times New Roman" w:hAnsi="Calibri"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137517EC"/>
    <w:multiLevelType w:val="hybridMultilevel"/>
    <w:tmpl w:val="EB1E72EC"/>
    <w:lvl w:ilvl="0" w:tplc="2320E464">
      <w:start w:val="1"/>
      <w:numFmt w:val="decimal"/>
      <w:lvlText w:val="%1."/>
      <w:lvlJc w:val="left"/>
      <w:pPr>
        <w:ind w:left="360" w:hanging="360"/>
      </w:pPr>
      <w:rPr>
        <w:rFonts w:hint="default"/>
        <w:b w:val="0"/>
      </w:r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73F13A0"/>
    <w:multiLevelType w:val="hybridMultilevel"/>
    <w:tmpl w:val="3FD8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105E1"/>
    <w:multiLevelType w:val="hybridMultilevel"/>
    <w:tmpl w:val="D75C8520"/>
    <w:lvl w:ilvl="0" w:tplc="0C09000F">
      <w:start w:val="1"/>
      <w:numFmt w:val="decimal"/>
      <w:lvlText w:val="%1."/>
      <w:lvlJc w:val="left"/>
      <w:pPr>
        <w:ind w:left="0" w:hanging="360"/>
      </w:pPr>
      <w:rPr>
        <w:rFonts w:cs="Times New Roman" w:hint="default"/>
      </w:rPr>
    </w:lvl>
    <w:lvl w:ilvl="1" w:tplc="0C090019">
      <w:start w:val="1"/>
      <w:numFmt w:val="lowerLetter"/>
      <w:lvlText w:val="%2."/>
      <w:lvlJc w:val="left"/>
      <w:pPr>
        <w:ind w:left="720" w:hanging="360"/>
      </w:pPr>
      <w:rPr>
        <w:rFonts w:cs="Times New Roman"/>
      </w:r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5">
    <w:nsid w:val="1904527B"/>
    <w:multiLevelType w:val="hybridMultilevel"/>
    <w:tmpl w:val="0766564E"/>
    <w:lvl w:ilvl="0" w:tplc="0C090017">
      <w:start w:val="1"/>
      <w:numFmt w:val="lowerLetter"/>
      <w:lvlText w:val="%1)"/>
      <w:lvlJc w:val="left"/>
      <w:pPr>
        <w:ind w:left="1134" w:hanging="360"/>
      </w:pPr>
    </w:lvl>
    <w:lvl w:ilvl="1" w:tplc="08090019" w:tentative="1">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6">
    <w:nsid w:val="194D547A"/>
    <w:multiLevelType w:val="hybridMultilevel"/>
    <w:tmpl w:val="09CE6ABA"/>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913E1F"/>
    <w:multiLevelType w:val="multilevel"/>
    <w:tmpl w:val="DB24B23C"/>
    <w:lvl w:ilvl="0">
      <w:start w:val="1"/>
      <w:numFmt w:val="lowerRoman"/>
      <w:lvlText w:val="%1."/>
      <w:lvlJc w:val="right"/>
      <w:pPr>
        <w:ind w:left="360" w:hanging="360"/>
      </w:pPr>
      <w:rPr>
        <w:rFonts w:hint="default"/>
      </w:rPr>
    </w:lvl>
    <w:lvl w:ilvl="1">
      <w:start w:val="1"/>
      <w:numFmt w:val="none"/>
      <w:lvlText w:val="a)"/>
      <w:lvlJc w:val="right"/>
      <w:pPr>
        <w:ind w:left="1080" w:hanging="360"/>
      </w:pPr>
      <w:rPr>
        <w:rFonts w:hint="default"/>
      </w:rPr>
    </w:lvl>
    <w:lvl w:ilvl="2">
      <w:start w:val="1"/>
      <w:numFmt w:val="none"/>
      <w:lvlText w:val="i)"/>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23175A8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2F0051"/>
    <w:multiLevelType w:val="hybridMultilevel"/>
    <w:tmpl w:val="A004685A"/>
    <w:lvl w:ilvl="0" w:tplc="A90CDE0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094BDB"/>
    <w:multiLevelType w:val="hybridMultilevel"/>
    <w:tmpl w:val="BC04897E"/>
    <w:lvl w:ilvl="0" w:tplc="0C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A82788"/>
    <w:multiLevelType w:val="hybridMultilevel"/>
    <w:tmpl w:val="BEE87F0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59A2599"/>
    <w:multiLevelType w:val="hybridMultilevel"/>
    <w:tmpl w:val="1A9ACEDA"/>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760EBD"/>
    <w:multiLevelType w:val="hybridMultilevel"/>
    <w:tmpl w:val="C750EA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C541FA8"/>
    <w:multiLevelType w:val="hybridMultilevel"/>
    <w:tmpl w:val="2F645B3C"/>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411A3E4F"/>
    <w:multiLevelType w:val="multilevel"/>
    <w:tmpl w:val="2EE8EF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A3577F"/>
    <w:multiLevelType w:val="hybridMultilevel"/>
    <w:tmpl w:val="EF1EDB10"/>
    <w:lvl w:ilvl="0" w:tplc="0C09000F">
      <w:start w:val="1"/>
      <w:numFmt w:val="decimal"/>
      <w:lvlText w:val="%1."/>
      <w:lvlJc w:val="left"/>
      <w:pPr>
        <w:ind w:left="0" w:hanging="360"/>
      </w:pPr>
      <w:rPr>
        <w:rFonts w:cs="Times New Roman" w:hint="default"/>
      </w:rPr>
    </w:lvl>
    <w:lvl w:ilvl="1" w:tplc="0C09000F">
      <w:start w:val="1"/>
      <w:numFmt w:val="decimal"/>
      <w:lvlText w:val="%2."/>
      <w:lvlJc w:val="left"/>
      <w:pPr>
        <w:ind w:left="720" w:hanging="360"/>
      </w:p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17">
    <w:nsid w:val="42962FDF"/>
    <w:multiLevelType w:val="hybridMultilevel"/>
    <w:tmpl w:val="80F82378"/>
    <w:lvl w:ilvl="0" w:tplc="0C09000F">
      <w:start w:val="1"/>
      <w:numFmt w:val="decimal"/>
      <w:lvlText w:val="%1."/>
      <w:lvlJc w:val="left"/>
      <w:pPr>
        <w:ind w:left="0" w:hanging="360"/>
      </w:pPr>
      <w:rPr>
        <w:rFonts w:cs="Times New Roman" w:hint="default"/>
      </w:rPr>
    </w:lvl>
    <w:lvl w:ilvl="1" w:tplc="0C090017">
      <w:start w:val="1"/>
      <w:numFmt w:val="lowerLetter"/>
      <w:lvlText w:val="%2)"/>
      <w:lvlJc w:val="left"/>
      <w:pPr>
        <w:ind w:left="720" w:hanging="360"/>
      </w:p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18">
    <w:nsid w:val="42FF64D9"/>
    <w:multiLevelType w:val="hybridMultilevel"/>
    <w:tmpl w:val="303A7B60"/>
    <w:lvl w:ilvl="0" w:tplc="0C09000F">
      <w:start w:val="1"/>
      <w:numFmt w:val="decimal"/>
      <w:lvlText w:val="%1."/>
      <w:lvlJc w:val="left"/>
      <w:pPr>
        <w:ind w:left="0" w:hanging="360"/>
      </w:pPr>
      <w:rPr>
        <w:rFonts w:cs="Times New Roman" w:hint="default"/>
      </w:rPr>
    </w:lvl>
    <w:lvl w:ilvl="1" w:tplc="0C090017">
      <w:start w:val="1"/>
      <w:numFmt w:val="lowerLetter"/>
      <w:lvlText w:val="%2)"/>
      <w:lvlJc w:val="left"/>
      <w:pPr>
        <w:ind w:left="720" w:hanging="360"/>
      </w:p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19">
    <w:nsid w:val="43303FC3"/>
    <w:multiLevelType w:val="multilevel"/>
    <w:tmpl w:val="DB24B23C"/>
    <w:lvl w:ilvl="0">
      <w:start w:val="1"/>
      <w:numFmt w:val="lowerRoman"/>
      <w:lvlText w:val="%1."/>
      <w:lvlJc w:val="right"/>
      <w:pPr>
        <w:ind w:left="1080" w:hanging="360"/>
      </w:pPr>
      <w:rPr>
        <w:rFonts w:hint="default"/>
      </w:rPr>
    </w:lvl>
    <w:lvl w:ilvl="1">
      <w:start w:val="1"/>
      <w:numFmt w:val="none"/>
      <w:lvlText w:val="a)"/>
      <w:lvlJc w:val="right"/>
      <w:pPr>
        <w:ind w:left="1800" w:hanging="360"/>
      </w:pPr>
      <w:rPr>
        <w:rFonts w:hint="default"/>
      </w:rPr>
    </w:lvl>
    <w:lvl w:ilvl="2">
      <w:start w:val="1"/>
      <w:numFmt w:val="none"/>
      <w:lvlText w:val="i)"/>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nsid w:val="44B6326C"/>
    <w:multiLevelType w:val="hybridMultilevel"/>
    <w:tmpl w:val="9D28B5A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44E36DB3"/>
    <w:multiLevelType w:val="hybridMultilevel"/>
    <w:tmpl w:val="62DE69F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5790577"/>
    <w:multiLevelType w:val="multilevel"/>
    <w:tmpl w:val="D72AE5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AB36A9B"/>
    <w:multiLevelType w:val="hybridMultilevel"/>
    <w:tmpl w:val="3ABA5972"/>
    <w:lvl w:ilvl="0" w:tplc="0C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FB50AC4"/>
    <w:multiLevelType w:val="hybridMultilevel"/>
    <w:tmpl w:val="D0641EA6"/>
    <w:lvl w:ilvl="0" w:tplc="0C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33441B9"/>
    <w:multiLevelType w:val="multilevel"/>
    <w:tmpl w:val="4B929554"/>
    <w:lvl w:ilvl="0">
      <w:start w:val="1"/>
      <w:numFmt w:val="decimal"/>
      <w:lvlText w:val="%1."/>
      <w:lvlJc w:val="left"/>
      <w:pPr>
        <w:ind w:left="1080" w:hanging="360"/>
      </w:pPr>
      <w:rPr>
        <w:rFonts w:hint="default"/>
      </w:rPr>
    </w:lvl>
    <w:lvl w:ilvl="1">
      <w:start w:val="1"/>
      <w:numFmt w:val="none"/>
      <w:lvlText w:val="a)"/>
      <w:lvlJc w:val="right"/>
      <w:pPr>
        <w:ind w:left="1800" w:hanging="360"/>
      </w:pPr>
      <w:rPr>
        <w:rFonts w:hint="default"/>
      </w:rPr>
    </w:lvl>
    <w:lvl w:ilvl="2">
      <w:start w:val="1"/>
      <w:numFmt w:val="none"/>
      <w:lvlText w:val="i)"/>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nsid w:val="560B2C06"/>
    <w:multiLevelType w:val="hybridMultilevel"/>
    <w:tmpl w:val="32B2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14BC4"/>
    <w:multiLevelType w:val="hybridMultilevel"/>
    <w:tmpl w:val="A004685A"/>
    <w:lvl w:ilvl="0" w:tplc="A90CDE0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632A44"/>
    <w:multiLevelType w:val="hybridMultilevel"/>
    <w:tmpl w:val="569292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F354FED"/>
    <w:multiLevelType w:val="hybridMultilevel"/>
    <w:tmpl w:val="BEE87F0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05C6C68"/>
    <w:multiLevelType w:val="hybridMultilevel"/>
    <w:tmpl w:val="44E68FB6"/>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60CB19BA"/>
    <w:multiLevelType w:val="hybridMultilevel"/>
    <w:tmpl w:val="3EC6A1B0"/>
    <w:lvl w:ilvl="0" w:tplc="0C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2674B87"/>
    <w:multiLevelType w:val="hybridMultilevel"/>
    <w:tmpl w:val="686E9F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3BE2FA0"/>
    <w:multiLevelType w:val="hybridMultilevel"/>
    <w:tmpl w:val="8F623CF2"/>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2F5296"/>
    <w:multiLevelType w:val="multilevel"/>
    <w:tmpl w:val="3396854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852601A"/>
    <w:multiLevelType w:val="hybridMultilevel"/>
    <w:tmpl w:val="2E6E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DC0B7A"/>
    <w:multiLevelType w:val="multilevel"/>
    <w:tmpl w:val="1B305670"/>
    <w:lvl w:ilvl="0">
      <w:start w:val="1"/>
      <w:numFmt w:val="decimal"/>
      <w:lvlText w:val="%1."/>
      <w:lvlJc w:val="left"/>
      <w:pPr>
        <w:ind w:left="450" w:hanging="450"/>
      </w:pPr>
      <w:rPr>
        <w:rFonts w:hint="default"/>
        <w:sz w:val="32"/>
        <w:szCs w:val="32"/>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B4C19DF"/>
    <w:multiLevelType w:val="multilevel"/>
    <w:tmpl w:val="F146A864"/>
    <w:lvl w:ilvl="0">
      <w:start w:val="1"/>
      <w:numFmt w:val="decimal"/>
      <w:lvlText w:val="%1."/>
      <w:lvlJc w:val="left"/>
      <w:pPr>
        <w:ind w:left="450" w:hanging="45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D621809"/>
    <w:multiLevelType w:val="hybridMultilevel"/>
    <w:tmpl w:val="7140FDD0"/>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F42154B"/>
    <w:multiLevelType w:val="hybridMultilevel"/>
    <w:tmpl w:val="3D6E1BF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rPr>
        <w:rFonts w:cs="Times New Roman"/>
      </w:r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0B8136F"/>
    <w:multiLevelType w:val="hybridMultilevel"/>
    <w:tmpl w:val="9C16841C"/>
    <w:lvl w:ilvl="0" w:tplc="0C09000F">
      <w:start w:val="1"/>
      <w:numFmt w:val="decimal"/>
      <w:lvlText w:val="%1."/>
      <w:lvlJc w:val="left"/>
      <w:pPr>
        <w:ind w:left="0" w:hanging="360"/>
      </w:pPr>
      <w:rPr>
        <w:rFonts w:cs="Times New Roman" w:hint="default"/>
      </w:rPr>
    </w:lvl>
    <w:lvl w:ilvl="1" w:tplc="0C090017">
      <w:start w:val="1"/>
      <w:numFmt w:val="lowerLetter"/>
      <w:lvlText w:val="%2)"/>
      <w:lvlJc w:val="left"/>
      <w:pPr>
        <w:ind w:left="720" w:hanging="360"/>
      </w:p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41">
    <w:nsid w:val="716B5DFE"/>
    <w:multiLevelType w:val="hybridMultilevel"/>
    <w:tmpl w:val="61FA0E54"/>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1B1E70"/>
    <w:multiLevelType w:val="hybridMultilevel"/>
    <w:tmpl w:val="BEE87F0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A277615"/>
    <w:multiLevelType w:val="hybridMultilevel"/>
    <w:tmpl w:val="AF5C0B36"/>
    <w:lvl w:ilvl="0" w:tplc="0C09000F">
      <w:start w:val="1"/>
      <w:numFmt w:val="decimal"/>
      <w:lvlText w:val="%1."/>
      <w:lvlJc w:val="left"/>
      <w:pPr>
        <w:ind w:left="0" w:hanging="360"/>
      </w:pPr>
      <w:rPr>
        <w:rFonts w:cs="Times New Roman" w:hint="default"/>
      </w:rPr>
    </w:lvl>
    <w:lvl w:ilvl="1" w:tplc="0C090017">
      <w:start w:val="1"/>
      <w:numFmt w:val="lowerLetter"/>
      <w:lvlText w:val="%2)"/>
      <w:lvlJc w:val="left"/>
      <w:pPr>
        <w:ind w:left="720" w:hanging="360"/>
      </w:p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44">
    <w:nsid w:val="7B3F7369"/>
    <w:multiLevelType w:val="hybridMultilevel"/>
    <w:tmpl w:val="C03C61D2"/>
    <w:lvl w:ilvl="0" w:tplc="0C09000F">
      <w:start w:val="1"/>
      <w:numFmt w:val="decimal"/>
      <w:lvlText w:val="%1."/>
      <w:lvlJc w:val="left"/>
      <w:pPr>
        <w:ind w:left="0" w:hanging="360"/>
      </w:pPr>
      <w:rPr>
        <w:rFonts w:cs="Times New Roman" w:hint="default"/>
      </w:rPr>
    </w:lvl>
    <w:lvl w:ilvl="1" w:tplc="0C090017">
      <w:start w:val="1"/>
      <w:numFmt w:val="lowerLetter"/>
      <w:lvlText w:val="%2)"/>
      <w:lvlJc w:val="left"/>
      <w:pPr>
        <w:ind w:left="720" w:hanging="360"/>
      </w:pPr>
    </w:lvl>
    <w:lvl w:ilvl="2" w:tplc="0C09001B">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num w:numId="1">
    <w:abstractNumId w:val="4"/>
  </w:num>
  <w:num w:numId="2">
    <w:abstractNumId w:val="0"/>
  </w:num>
  <w:num w:numId="3">
    <w:abstractNumId w:val="32"/>
  </w:num>
  <w:num w:numId="4">
    <w:abstractNumId w:val="8"/>
  </w:num>
  <w:num w:numId="5">
    <w:abstractNumId w:val="31"/>
  </w:num>
  <w:num w:numId="6">
    <w:abstractNumId w:val="21"/>
  </w:num>
  <w:num w:numId="7">
    <w:abstractNumId w:val="42"/>
  </w:num>
  <w:num w:numId="8">
    <w:abstractNumId w:val="11"/>
  </w:num>
  <w:num w:numId="9">
    <w:abstractNumId w:val="29"/>
  </w:num>
  <w:num w:numId="10">
    <w:abstractNumId w:val="41"/>
  </w:num>
  <w:num w:numId="11">
    <w:abstractNumId w:val="38"/>
  </w:num>
  <w:num w:numId="12">
    <w:abstractNumId w:val="12"/>
  </w:num>
  <w:num w:numId="13">
    <w:abstractNumId w:val="16"/>
  </w:num>
  <w:num w:numId="14">
    <w:abstractNumId w:val="30"/>
  </w:num>
  <w:num w:numId="15">
    <w:abstractNumId w:val="39"/>
  </w:num>
  <w:num w:numId="16">
    <w:abstractNumId w:val="43"/>
  </w:num>
  <w:num w:numId="17">
    <w:abstractNumId w:val="40"/>
  </w:num>
  <w:num w:numId="18">
    <w:abstractNumId w:val="44"/>
  </w:num>
  <w:num w:numId="19">
    <w:abstractNumId w:val="18"/>
  </w:num>
  <w:num w:numId="20">
    <w:abstractNumId w:val="17"/>
  </w:num>
  <w:num w:numId="21">
    <w:abstractNumId w:val="5"/>
  </w:num>
  <w:num w:numId="22">
    <w:abstractNumId w:val="10"/>
  </w:num>
  <w:num w:numId="23">
    <w:abstractNumId w:val="33"/>
  </w:num>
  <w:num w:numId="24">
    <w:abstractNumId w:val="13"/>
  </w:num>
  <w:num w:numId="25">
    <w:abstractNumId w:val="24"/>
  </w:num>
  <w:num w:numId="26">
    <w:abstractNumId w:val="6"/>
  </w:num>
  <w:num w:numId="27">
    <w:abstractNumId w:val="2"/>
  </w:num>
  <w:num w:numId="28">
    <w:abstractNumId w:val="9"/>
  </w:num>
  <w:num w:numId="29">
    <w:abstractNumId w:val="25"/>
  </w:num>
  <w:num w:numId="30">
    <w:abstractNumId w:val="19"/>
  </w:num>
  <w:num w:numId="31">
    <w:abstractNumId w:val="7"/>
  </w:num>
  <w:num w:numId="32">
    <w:abstractNumId w:val="27"/>
  </w:num>
  <w:num w:numId="33">
    <w:abstractNumId w:val="28"/>
  </w:num>
  <w:num w:numId="34">
    <w:abstractNumId w:val="23"/>
  </w:num>
  <w:num w:numId="35">
    <w:abstractNumId w:val="22"/>
  </w:num>
  <w:num w:numId="36">
    <w:abstractNumId w:val="3"/>
  </w:num>
  <w:num w:numId="37">
    <w:abstractNumId w:val="37"/>
  </w:num>
  <w:num w:numId="38">
    <w:abstractNumId w:val="34"/>
  </w:num>
  <w:num w:numId="39">
    <w:abstractNumId w:val="36"/>
  </w:num>
  <w:num w:numId="40">
    <w:abstractNumId w:val="15"/>
  </w:num>
  <w:num w:numId="41">
    <w:abstractNumId w:val="20"/>
  </w:num>
  <w:num w:numId="42">
    <w:abstractNumId w:val="14"/>
  </w:num>
  <w:num w:numId="43">
    <w:abstractNumId w:val="26"/>
  </w:num>
  <w:num w:numId="44">
    <w:abstractNumId w:val="35"/>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775444"/>
    <w:rsid w:val="000010E5"/>
    <w:rsid w:val="00004BF7"/>
    <w:rsid w:val="00013276"/>
    <w:rsid w:val="00023B5F"/>
    <w:rsid w:val="000540AE"/>
    <w:rsid w:val="000676B6"/>
    <w:rsid w:val="00073861"/>
    <w:rsid w:val="00090996"/>
    <w:rsid w:val="000A11E8"/>
    <w:rsid w:val="000A595A"/>
    <w:rsid w:val="000D3289"/>
    <w:rsid w:val="000E63C1"/>
    <w:rsid w:val="001301E9"/>
    <w:rsid w:val="00131DD9"/>
    <w:rsid w:val="00163BFB"/>
    <w:rsid w:val="00171934"/>
    <w:rsid w:val="0018289E"/>
    <w:rsid w:val="00187266"/>
    <w:rsid w:val="00190BB4"/>
    <w:rsid w:val="00191FD6"/>
    <w:rsid w:val="001B1647"/>
    <w:rsid w:val="001C396E"/>
    <w:rsid w:val="001E1878"/>
    <w:rsid w:val="001E402D"/>
    <w:rsid w:val="001E6C2F"/>
    <w:rsid w:val="002019AC"/>
    <w:rsid w:val="00221E97"/>
    <w:rsid w:val="00263A54"/>
    <w:rsid w:val="00265030"/>
    <w:rsid w:val="002758D4"/>
    <w:rsid w:val="00283A15"/>
    <w:rsid w:val="00292F59"/>
    <w:rsid w:val="002A0DDF"/>
    <w:rsid w:val="002B643A"/>
    <w:rsid w:val="002B65ED"/>
    <w:rsid w:val="002E2E57"/>
    <w:rsid w:val="002F02D2"/>
    <w:rsid w:val="00301882"/>
    <w:rsid w:val="00303D2E"/>
    <w:rsid w:val="0031181A"/>
    <w:rsid w:val="00354D67"/>
    <w:rsid w:val="00360C6E"/>
    <w:rsid w:val="00361AE5"/>
    <w:rsid w:val="0036244F"/>
    <w:rsid w:val="00376220"/>
    <w:rsid w:val="00391082"/>
    <w:rsid w:val="003A1140"/>
    <w:rsid w:val="003B4B05"/>
    <w:rsid w:val="003C1191"/>
    <w:rsid w:val="003E64E5"/>
    <w:rsid w:val="003F01B2"/>
    <w:rsid w:val="00425980"/>
    <w:rsid w:val="00427A95"/>
    <w:rsid w:val="00435DD4"/>
    <w:rsid w:val="00442608"/>
    <w:rsid w:val="00444E24"/>
    <w:rsid w:val="00463510"/>
    <w:rsid w:val="00465DBA"/>
    <w:rsid w:val="00486439"/>
    <w:rsid w:val="004A639F"/>
    <w:rsid w:val="004A6ACC"/>
    <w:rsid w:val="004C0CDF"/>
    <w:rsid w:val="004E0700"/>
    <w:rsid w:val="004F610B"/>
    <w:rsid w:val="00523508"/>
    <w:rsid w:val="0056286A"/>
    <w:rsid w:val="005658A1"/>
    <w:rsid w:val="005664D1"/>
    <w:rsid w:val="00567B05"/>
    <w:rsid w:val="005856F8"/>
    <w:rsid w:val="00587948"/>
    <w:rsid w:val="00591E80"/>
    <w:rsid w:val="005A5665"/>
    <w:rsid w:val="005A7EF5"/>
    <w:rsid w:val="005C39DA"/>
    <w:rsid w:val="005D026E"/>
    <w:rsid w:val="005D6057"/>
    <w:rsid w:val="005E5CAC"/>
    <w:rsid w:val="0060685F"/>
    <w:rsid w:val="00611822"/>
    <w:rsid w:val="00626083"/>
    <w:rsid w:val="00632981"/>
    <w:rsid w:val="00636A36"/>
    <w:rsid w:val="00660506"/>
    <w:rsid w:val="00685289"/>
    <w:rsid w:val="006A1DD0"/>
    <w:rsid w:val="006D4F22"/>
    <w:rsid w:val="006F662D"/>
    <w:rsid w:val="006F688B"/>
    <w:rsid w:val="0071343B"/>
    <w:rsid w:val="0073063A"/>
    <w:rsid w:val="00746BEB"/>
    <w:rsid w:val="00753810"/>
    <w:rsid w:val="00773180"/>
    <w:rsid w:val="00775444"/>
    <w:rsid w:val="007868A0"/>
    <w:rsid w:val="00791F5F"/>
    <w:rsid w:val="007A5A63"/>
    <w:rsid w:val="007C3C13"/>
    <w:rsid w:val="007C57BA"/>
    <w:rsid w:val="007C678F"/>
    <w:rsid w:val="007E316D"/>
    <w:rsid w:val="00803157"/>
    <w:rsid w:val="00810FDE"/>
    <w:rsid w:val="008721D6"/>
    <w:rsid w:val="008B6E2B"/>
    <w:rsid w:val="008C3B0B"/>
    <w:rsid w:val="008C53A0"/>
    <w:rsid w:val="008D1A53"/>
    <w:rsid w:val="008D4950"/>
    <w:rsid w:val="008D7E96"/>
    <w:rsid w:val="008E3B86"/>
    <w:rsid w:val="008F27B3"/>
    <w:rsid w:val="0090258F"/>
    <w:rsid w:val="00913736"/>
    <w:rsid w:val="009229B0"/>
    <w:rsid w:val="00930037"/>
    <w:rsid w:val="00937DBA"/>
    <w:rsid w:val="00961A24"/>
    <w:rsid w:val="00967836"/>
    <w:rsid w:val="0097310B"/>
    <w:rsid w:val="009816E0"/>
    <w:rsid w:val="009A71F5"/>
    <w:rsid w:val="009B0EB9"/>
    <w:rsid w:val="009B5B7A"/>
    <w:rsid w:val="009D75B3"/>
    <w:rsid w:val="009E2E9E"/>
    <w:rsid w:val="00A06CE8"/>
    <w:rsid w:val="00A13563"/>
    <w:rsid w:val="00A31C51"/>
    <w:rsid w:val="00A41DEE"/>
    <w:rsid w:val="00A5272F"/>
    <w:rsid w:val="00A55CF8"/>
    <w:rsid w:val="00A653D7"/>
    <w:rsid w:val="00A82A0F"/>
    <w:rsid w:val="00A8331E"/>
    <w:rsid w:val="00A8522B"/>
    <w:rsid w:val="00AA4175"/>
    <w:rsid w:val="00AB1479"/>
    <w:rsid w:val="00AB1F1C"/>
    <w:rsid w:val="00AC2CA5"/>
    <w:rsid w:val="00B06E7D"/>
    <w:rsid w:val="00B10191"/>
    <w:rsid w:val="00B12988"/>
    <w:rsid w:val="00B37D7F"/>
    <w:rsid w:val="00B603A9"/>
    <w:rsid w:val="00B64E33"/>
    <w:rsid w:val="00BA5E58"/>
    <w:rsid w:val="00BB1669"/>
    <w:rsid w:val="00BB1806"/>
    <w:rsid w:val="00BB6DB5"/>
    <w:rsid w:val="00BD205A"/>
    <w:rsid w:val="00BD61CC"/>
    <w:rsid w:val="00BE48E2"/>
    <w:rsid w:val="00C01BFB"/>
    <w:rsid w:val="00C04444"/>
    <w:rsid w:val="00C1539E"/>
    <w:rsid w:val="00C16ACB"/>
    <w:rsid w:val="00C21002"/>
    <w:rsid w:val="00C266A2"/>
    <w:rsid w:val="00C51F64"/>
    <w:rsid w:val="00C53406"/>
    <w:rsid w:val="00C536E4"/>
    <w:rsid w:val="00C856F2"/>
    <w:rsid w:val="00CA43B0"/>
    <w:rsid w:val="00CA6E8C"/>
    <w:rsid w:val="00CC3E16"/>
    <w:rsid w:val="00CD07D4"/>
    <w:rsid w:val="00CE7504"/>
    <w:rsid w:val="00D454CA"/>
    <w:rsid w:val="00D4781C"/>
    <w:rsid w:val="00D54765"/>
    <w:rsid w:val="00D57417"/>
    <w:rsid w:val="00D87473"/>
    <w:rsid w:val="00D975E3"/>
    <w:rsid w:val="00DB0D3D"/>
    <w:rsid w:val="00DC1644"/>
    <w:rsid w:val="00DC7BAF"/>
    <w:rsid w:val="00E047CC"/>
    <w:rsid w:val="00E13B2E"/>
    <w:rsid w:val="00E252D9"/>
    <w:rsid w:val="00E32AC1"/>
    <w:rsid w:val="00E40404"/>
    <w:rsid w:val="00E40D2B"/>
    <w:rsid w:val="00E47FA8"/>
    <w:rsid w:val="00E62D08"/>
    <w:rsid w:val="00E62F0D"/>
    <w:rsid w:val="00E66780"/>
    <w:rsid w:val="00E73C8F"/>
    <w:rsid w:val="00E849A1"/>
    <w:rsid w:val="00E91A3B"/>
    <w:rsid w:val="00EA3663"/>
    <w:rsid w:val="00EC3939"/>
    <w:rsid w:val="00EC7E6D"/>
    <w:rsid w:val="00ED2F97"/>
    <w:rsid w:val="00ED6837"/>
    <w:rsid w:val="00EE385B"/>
    <w:rsid w:val="00EE72C9"/>
    <w:rsid w:val="00EF018E"/>
    <w:rsid w:val="00F107A6"/>
    <w:rsid w:val="00F11814"/>
    <w:rsid w:val="00F12286"/>
    <w:rsid w:val="00F12511"/>
    <w:rsid w:val="00F14A33"/>
    <w:rsid w:val="00F261D5"/>
    <w:rsid w:val="00F80DF3"/>
    <w:rsid w:val="00F8208E"/>
    <w:rsid w:val="00F928F1"/>
    <w:rsid w:val="00FA00B8"/>
    <w:rsid w:val="00FC3BD8"/>
    <w:rsid w:val="00FD1848"/>
    <w:rsid w:val="00FE30FA"/>
  </w:rsids>
  <m:mathPr>
    <m:mathFont m:val="Cordia New"/>
    <m:brkBin m:val="before"/>
    <m:brkBinSub m:val="--"/>
    <m:smallFrac/>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6A"/>
    <w:pPr>
      <w:spacing w:after="200" w:line="276" w:lineRule="auto"/>
      <w:jc w:val="both"/>
    </w:pPr>
  </w:style>
  <w:style w:type="paragraph" w:styleId="Heading1">
    <w:name w:val="heading 1"/>
    <w:basedOn w:val="Normal"/>
    <w:next w:val="Normal"/>
    <w:link w:val="Heading1Char"/>
    <w:uiPriority w:val="9"/>
    <w:qFormat/>
    <w:locked/>
    <w:rsid w:val="0056286A"/>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locked/>
    <w:rsid w:val="0056286A"/>
    <w:pPr>
      <w:spacing w:before="240" w:after="80"/>
      <w:jc w:val="left"/>
      <w:outlineLvl w:val="1"/>
    </w:pPr>
    <w:rPr>
      <w:b/>
      <w:smallCaps/>
      <w:spacing w:val="5"/>
      <w:sz w:val="28"/>
      <w:szCs w:val="28"/>
    </w:rPr>
  </w:style>
  <w:style w:type="paragraph" w:styleId="Heading3">
    <w:name w:val="heading 3"/>
    <w:basedOn w:val="Normal"/>
    <w:next w:val="Normal"/>
    <w:link w:val="Heading3Char"/>
    <w:uiPriority w:val="9"/>
    <w:unhideWhenUsed/>
    <w:qFormat/>
    <w:locked/>
    <w:rsid w:val="0056286A"/>
    <w:pPr>
      <w:spacing w:after="0"/>
      <w:jc w:val="left"/>
      <w:outlineLvl w:val="2"/>
    </w:pPr>
    <w:rPr>
      <w:b/>
      <w:smallCaps/>
      <w:spacing w:val="5"/>
      <w:sz w:val="24"/>
      <w:szCs w:val="24"/>
    </w:rPr>
  </w:style>
  <w:style w:type="paragraph" w:styleId="Heading4">
    <w:name w:val="heading 4"/>
    <w:basedOn w:val="Normal"/>
    <w:next w:val="Normal"/>
    <w:link w:val="Heading4Char"/>
    <w:uiPriority w:val="9"/>
    <w:semiHidden/>
    <w:unhideWhenUsed/>
    <w:qFormat/>
    <w:locked/>
    <w:rsid w:val="004F610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4F610B"/>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locked/>
    <w:rsid w:val="004F610B"/>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locked/>
    <w:rsid w:val="004F610B"/>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locked/>
    <w:rsid w:val="004F610B"/>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locked/>
    <w:rsid w:val="004F610B"/>
    <w:pPr>
      <w:spacing w:after="0"/>
      <w:jc w:val="left"/>
      <w:outlineLvl w:val="8"/>
    </w:pPr>
    <w:rPr>
      <w:b/>
      <w:i/>
      <w:smallCaps/>
      <w:color w:val="622423"/>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CC3E16"/>
    <w:pPr>
      <w:tabs>
        <w:tab w:val="center" w:pos="4680"/>
        <w:tab w:val="right" w:pos="9360"/>
      </w:tabs>
    </w:pPr>
    <w:rPr>
      <w:rFonts w:ascii="Times New Roman" w:hAnsi="Times New Roman"/>
      <w:sz w:val="24"/>
      <w:szCs w:val="24"/>
    </w:rPr>
  </w:style>
  <w:style w:type="character" w:customStyle="1" w:styleId="HeaderChar">
    <w:name w:val="Header Char"/>
    <w:link w:val="Header"/>
    <w:uiPriority w:val="99"/>
    <w:locked/>
    <w:rsid w:val="00CC3E16"/>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CC3E16"/>
    <w:rPr>
      <w:rFonts w:ascii="Tahoma" w:hAnsi="Tahoma"/>
      <w:sz w:val="16"/>
      <w:szCs w:val="16"/>
    </w:rPr>
  </w:style>
  <w:style w:type="character" w:customStyle="1" w:styleId="BalloonTextChar">
    <w:name w:val="Balloon Text Char"/>
    <w:link w:val="BalloonText"/>
    <w:uiPriority w:val="99"/>
    <w:semiHidden/>
    <w:locked/>
    <w:rsid w:val="00CC3E16"/>
    <w:rPr>
      <w:rFonts w:ascii="Tahoma" w:eastAsia="Times New Roman" w:hAnsi="Tahoma" w:cs="Tahoma"/>
      <w:noProof/>
      <w:sz w:val="16"/>
      <w:szCs w:val="16"/>
      <w:lang w:val="en-US"/>
    </w:rPr>
  </w:style>
  <w:style w:type="paragraph" w:styleId="ListParagraph">
    <w:name w:val="List Paragraph"/>
    <w:basedOn w:val="Normal"/>
    <w:uiPriority w:val="34"/>
    <w:qFormat/>
    <w:rsid w:val="004F610B"/>
    <w:pPr>
      <w:ind w:left="720"/>
      <w:contextualSpacing/>
    </w:pPr>
  </w:style>
  <w:style w:type="table" w:styleId="TableGrid">
    <w:name w:val="Table Grid"/>
    <w:basedOn w:val="TableNormal"/>
    <w:uiPriority w:val="59"/>
    <w:locked/>
    <w:rsid w:val="003A11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DB0D3D"/>
    <w:pPr>
      <w:tabs>
        <w:tab w:val="center" w:pos="4513"/>
        <w:tab w:val="right" w:pos="9026"/>
      </w:tabs>
    </w:pPr>
    <w:rPr>
      <w:rFonts w:cs="Angsana New"/>
    </w:rPr>
  </w:style>
  <w:style w:type="character" w:customStyle="1" w:styleId="FooterChar">
    <w:name w:val="Footer Char"/>
    <w:link w:val="Footer"/>
    <w:uiPriority w:val="99"/>
    <w:rsid w:val="00DB0D3D"/>
    <w:rPr>
      <w:rFonts w:ascii="Cordia New" w:hAnsi="Cordia New" w:cs="Angsana New"/>
      <w:noProof/>
      <w:sz w:val="28"/>
      <w:lang w:val="en-US" w:eastAsia="en-US" w:bidi="th-TH"/>
    </w:rPr>
  </w:style>
  <w:style w:type="character" w:styleId="CommentReference">
    <w:name w:val="annotation reference"/>
    <w:uiPriority w:val="99"/>
    <w:semiHidden/>
    <w:unhideWhenUsed/>
    <w:rsid w:val="00591E80"/>
    <w:rPr>
      <w:sz w:val="16"/>
      <w:szCs w:val="16"/>
    </w:rPr>
  </w:style>
  <w:style w:type="paragraph" w:styleId="CommentText">
    <w:name w:val="annotation text"/>
    <w:basedOn w:val="Normal"/>
    <w:link w:val="CommentTextChar"/>
    <w:uiPriority w:val="99"/>
    <w:semiHidden/>
    <w:unhideWhenUsed/>
    <w:rsid w:val="00591E80"/>
    <w:rPr>
      <w:rFonts w:cs="Angsana New"/>
      <w:szCs w:val="25"/>
    </w:rPr>
  </w:style>
  <w:style w:type="character" w:customStyle="1" w:styleId="CommentTextChar">
    <w:name w:val="Comment Text Char"/>
    <w:link w:val="CommentText"/>
    <w:uiPriority w:val="99"/>
    <w:semiHidden/>
    <w:rsid w:val="00591E80"/>
    <w:rPr>
      <w:rFonts w:ascii="Cordia New" w:hAnsi="Cordia New" w:cs="Angsana New"/>
      <w:noProof/>
      <w:szCs w:val="25"/>
      <w:lang w:val="en-US" w:eastAsia="en-US" w:bidi="th-TH"/>
    </w:rPr>
  </w:style>
  <w:style w:type="paragraph" w:styleId="CommentSubject">
    <w:name w:val="annotation subject"/>
    <w:basedOn w:val="CommentText"/>
    <w:next w:val="CommentText"/>
    <w:link w:val="CommentSubjectChar"/>
    <w:uiPriority w:val="99"/>
    <w:semiHidden/>
    <w:unhideWhenUsed/>
    <w:rsid w:val="00591E80"/>
    <w:rPr>
      <w:b/>
      <w:bCs/>
    </w:rPr>
  </w:style>
  <w:style w:type="character" w:customStyle="1" w:styleId="CommentSubjectChar">
    <w:name w:val="Comment Subject Char"/>
    <w:link w:val="CommentSubject"/>
    <w:uiPriority w:val="99"/>
    <w:semiHidden/>
    <w:rsid w:val="00591E80"/>
    <w:rPr>
      <w:rFonts w:ascii="Cordia New" w:hAnsi="Cordia New" w:cs="Angsana New"/>
      <w:b/>
      <w:bCs/>
      <w:noProof/>
      <w:szCs w:val="25"/>
      <w:lang w:val="en-US" w:eastAsia="en-US" w:bidi="th-TH"/>
    </w:rPr>
  </w:style>
  <w:style w:type="paragraph" w:styleId="Revision">
    <w:name w:val="Revision"/>
    <w:hidden/>
    <w:uiPriority w:val="99"/>
    <w:semiHidden/>
    <w:rsid w:val="00465DBA"/>
    <w:pPr>
      <w:spacing w:after="200" w:line="276" w:lineRule="auto"/>
      <w:jc w:val="both"/>
    </w:pPr>
    <w:rPr>
      <w:rFonts w:ascii="Cordia New" w:hAnsi="Cordia New" w:cs="Angsana New"/>
      <w:noProof/>
      <w:sz w:val="28"/>
      <w:lang w:val="en-US" w:eastAsia="en-US" w:bidi="th-TH"/>
    </w:rPr>
  </w:style>
  <w:style w:type="character" w:customStyle="1" w:styleId="Heading1Char">
    <w:name w:val="Heading 1 Char"/>
    <w:link w:val="Heading1"/>
    <w:uiPriority w:val="9"/>
    <w:rsid w:val="0056286A"/>
    <w:rPr>
      <w:b/>
      <w:smallCaps/>
      <w:spacing w:val="5"/>
      <w:sz w:val="32"/>
      <w:szCs w:val="32"/>
    </w:rPr>
  </w:style>
  <w:style w:type="character" w:customStyle="1" w:styleId="Heading2Char">
    <w:name w:val="Heading 2 Char"/>
    <w:link w:val="Heading2"/>
    <w:uiPriority w:val="9"/>
    <w:rsid w:val="0056286A"/>
    <w:rPr>
      <w:b/>
      <w:smallCaps/>
      <w:spacing w:val="5"/>
      <w:sz w:val="28"/>
      <w:szCs w:val="28"/>
    </w:rPr>
  </w:style>
  <w:style w:type="character" w:customStyle="1" w:styleId="Heading3Char">
    <w:name w:val="Heading 3 Char"/>
    <w:link w:val="Heading3"/>
    <w:uiPriority w:val="9"/>
    <w:rsid w:val="0056286A"/>
    <w:rPr>
      <w:b/>
      <w:smallCaps/>
      <w:spacing w:val="5"/>
      <w:sz w:val="24"/>
      <w:szCs w:val="24"/>
    </w:rPr>
  </w:style>
  <w:style w:type="character" w:customStyle="1" w:styleId="Heading4Char">
    <w:name w:val="Heading 4 Char"/>
    <w:link w:val="Heading4"/>
    <w:uiPriority w:val="9"/>
    <w:semiHidden/>
    <w:rsid w:val="004F610B"/>
    <w:rPr>
      <w:smallCaps/>
      <w:spacing w:val="10"/>
      <w:sz w:val="22"/>
      <w:szCs w:val="22"/>
    </w:rPr>
  </w:style>
  <w:style w:type="character" w:customStyle="1" w:styleId="Heading5Char">
    <w:name w:val="Heading 5 Char"/>
    <w:link w:val="Heading5"/>
    <w:uiPriority w:val="9"/>
    <w:semiHidden/>
    <w:rsid w:val="004F610B"/>
    <w:rPr>
      <w:smallCaps/>
      <w:color w:val="943634"/>
      <w:spacing w:val="10"/>
      <w:sz w:val="22"/>
      <w:szCs w:val="26"/>
    </w:rPr>
  </w:style>
  <w:style w:type="character" w:customStyle="1" w:styleId="Heading6Char">
    <w:name w:val="Heading 6 Char"/>
    <w:link w:val="Heading6"/>
    <w:uiPriority w:val="9"/>
    <w:semiHidden/>
    <w:rsid w:val="004F610B"/>
    <w:rPr>
      <w:smallCaps/>
      <w:color w:val="C0504D"/>
      <w:spacing w:val="5"/>
      <w:sz w:val="22"/>
    </w:rPr>
  </w:style>
  <w:style w:type="character" w:customStyle="1" w:styleId="Heading7Char">
    <w:name w:val="Heading 7 Char"/>
    <w:link w:val="Heading7"/>
    <w:uiPriority w:val="9"/>
    <w:semiHidden/>
    <w:rsid w:val="004F610B"/>
    <w:rPr>
      <w:b/>
      <w:smallCaps/>
      <w:color w:val="C0504D"/>
      <w:spacing w:val="10"/>
    </w:rPr>
  </w:style>
  <w:style w:type="character" w:customStyle="1" w:styleId="Heading8Char">
    <w:name w:val="Heading 8 Char"/>
    <w:link w:val="Heading8"/>
    <w:uiPriority w:val="9"/>
    <w:semiHidden/>
    <w:rsid w:val="004F610B"/>
    <w:rPr>
      <w:b/>
      <w:i/>
      <w:smallCaps/>
      <w:color w:val="943634"/>
    </w:rPr>
  </w:style>
  <w:style w:type="character" w:customStyle="1" w:styleId="Heading9Char">
    <w:name w:val="Heading 9 Char"/>
    <w:link w:val="Heading9"/>
    <w:uiPriority w:val="9"/>
    <w:semiHidden/>
    <w:rsid w:val="004F610B"/>
    <w:rPr>
      <w:b/>
      <w:i/>
      <w:smallCaps/>
      <w:color w:val="622423"/>
    </w:rPr>
  </w:style>
  <w:style w:type="paragraph" w:styleId="Caption">
    <w:name w:val="caption"/>
    <w:basedOn w:val="Normal"/>
    <w:next w:val="Normal"/>
    <w:uiPriority w:val="35"/>
    <w:semiHidden/>
    <w:unhideWhenUsed/>
    <w:qFormat/>
    <w:locked/>
    <w:rsid w:val="004F610B"/>
    <w:rPr>
      <w:b/>
      <w:bCs/>
      <w:caps/>
      <w:sz w:val="16"/>
      <w:szCs w:val="18"/>
    </w:rPr>
  </w:style>
  <w:style w:type="paragraph" w:styleId="Title">
    <w:name w:val="Title"/>
    <w:basedOn w:val="Normal"/>
    <w:next w:val="Normal"/>
    <w:link w:val="TitleChar"/>
    <w:uiPriority w:val="10"/>
    <w:qFormat/>
    <w:locked/>
    <w:rsid w:val="004F610B"/>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4F610B"/>
    <w:rPr>
      <w:smallCaps/>
      <w:sz w:val="48"/>
      <w:szCs w:val="48"/>
    </w:rPr>
  </w:style>
  <w:style w:type="paragraph" w:styleId="Subtitle">
    <w:name w:val="Subtitle"/>
    <w:basedOn w:val="Normal"/>
    <w:next w:val="Normal"/>
    <w:link w:val="SubtitleChar"/>
    <w:uiPriority w:val="11"/>
    <w:qFormat/>
    <w:locked/>
    <w:rsid w:val="004F610B"/>
    <w:pPr>
      <w:spacing w:after="720" w:line="240" w:lineRule="auto"/>
      <w:jc w:val="right"/>
    </w:pPr>
    <w:rPr>
      <w:rFonts w:ascii="Cambria" w:hAnsi="Cambria"/>
      <w:szCs w:val="22"/>
    </w:rPr>
  </w:style>
  <w:style w:type="character" w:customStyle="1" w:styleId="SubtitleChar">
    <w:name w:val="Subtitle Char"/>
    <w:link w:val="Subtitle"/>
    <w:uiPriority w:val="11"/>
    <w:rsid w:val="004F610B"/>
    <w:rPr>
      <w:rFonts w:ascii="Cambria" w:eastAsia="Times New Roman" w:hAnsi="Cambria" w:cs="Times New Roman"/>
      <w:szCs w:val="22"/>
    </w:rPr>
  </w:style>
  <w:style w:type="character" w:styleId="Strong">
    <w:name w:val="Strong"/>
    <w:uiPriority w:val="22"/>
    <w:qFormat/>
    <w:locked/>
    <w:rsid w:val="004F610B"/>
    <w:rPr>
      <w:b/>
      <w:color w:val="C0504D"/>
    </w:rPr>
  </w:style>
  <w:style w:type="character" w:styleId="Emphasis">
    <w:name w:val="Emphasis"/>
    <w:uiPriority w:val="20"/>
    <w:qFormat/>
    <w:locked/>
    <w:rsid w:val="004F610B"/>
    <w:rPr>
      <w:b/>
      <w:i/>
      <w:spacing w:val="10"/>
    </w:rPr>
  </w:style>
  <w:style w:type="paragraph" w:styleId="NoSpacing">
    <w:name w:val="No Spacing"/>
    <w:basedOn w:val="Normal"/>
    <w:link w:val="NoSpacingChar"/>
    <w:uiPriority w:val="1"/>
    <w:qFormat/>
    <w:rsid w:val="004F610B"/>
    <w:pPr>
      <w:spacing w:after="0" w:line="240" w:lineRule="auto"/>
    </w:pPr>
  </w:style>
  <w:style w:type="paragraph" w:styleId="Quote">
    <w:name w:val="Quote"/>
    <w:basedOn w:val="Normal"/>
    <w:next w:val="Normal"/>
    <w:link w:val="QuoteChar"/>
    <w:uiPriority w:val="29"/>
    <w:qFormat/>
    <w:rsid w:val="004F610B"/>
    <w:rPr>
      <w:i/>
    </w:rPr>
  </w:style>
  <w:style w:type="character" w:customStyle="1" w:styleId="QuoteChar">
    <w:name w:val="Quote Char"/>
    <w:link w:val="Quote"/>
    <w:uiPriority w:val="29"/>
    <w:rsid w:val="004F610B"/>
    <w:rPr>
      <w:i/>
    </w:rPr>
  </w:style>
  <w:style w:type="paragraph" w:styleId="IntenseQuote">
    <w:name w:val="Intense Quote"/>
    <w:basedOn w:val="Normal"/>
    <w:next w:val="Normal"/>
    <w:link w:val="IntenseQuoteChar"/>
    <w:uiPriority w:val="30"/>
    <w:qFormat/>
    <w:rsid w:val="004F610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4F610B"/>
    <w:rPr>
      <w:b/>
      <w:i/>
      <w:color w:val="FFFFFF"/>
      <w:shd w:val="clear" w:color="auto" w:fill="C0504D"/>
    </w:rPr>
  </w:style>
  <w:style w:type="character" w:styleId="SubtleEmphasis">
    <w:name w:val="Subtle Emphasis"/>
    <w:uiPriority w:val="19"/>
    <w:qFormat/>
    <w:rsid w:val="004F610B"/>
    <w:rPr>
      <w:i/>
    </w:rPr>
  </w:style>
  <w:style w:type="character" w:styleId="IntenseEmphasis">
    <w:name w:val="Intense Emphasis"/>
    <w:uiPriority w:val="21"/>
    <w:qFormat/>
    <w:rsid w:val="004F610B"/>
    <w:rPr>
      <w:b/>
      <w:i/>
      <w:color w:val="C0504D"/>
      <w:spacing w:val="10"/>
    </w:rPr>
  </w:style>
  <w:style w:type="character" w:styleId="SubtleReference">
    <w:name w:val="Subtle Reference"/>
    <w:uiPriority w:val="31"/>
    <w:qFormat/>
    <w:rsid w:val="004F610B"/>
    <w:rPr>
      <w:b/>
    </w:rPr>
  </w:style>
  <w:style w:type="character" w:styleId="IntenseReference">
    <w:name w:val="Intense Reference"/>
    <w:uiPriority w:val="32"/>
    <w:qFormat/>
    <w:rsid w:val="004F610B"/>
    <w:rPr>
      <w:b/>
      <w:bCs/>
      <w:smallCaps/>
      <w:spacing w:val="5"/>
      <w:sz w:val="22"/>
      <w:szCs w:val="22"/>
      <w:u w:val="single"/>
    </w:rPr>
  </w:style>
  <w:style w:type="character" w:styleId="BookTitle">
    <w:name w:val="Book Title"/>
    <w:uiPriority w:val="33"/>
    <w:qFormat/>
    <w:rsid w:val="004F610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F610B"/>
    <w:pPr>
      <w:outlineLvl w:val="9"/>
    </w:pPr>
    <w:rPr>
      <w:lang w:bidi="en-US"/>
    </w:rPr>
  </w:style>
  <w:style w:type="character" w:customStyle="1" w:styleId="NoSpacingChar">
    <w:name w:val="No Spacing Char"/>
    <w:link w:val="NoSpacing"/>
    <w:uiPriority w:val="1"/>
    <w:rsid w:val="004F6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6A"/>
    <w:pPr>
      <w:spacing w:after="200" w:line="276" w:lineRule="auto"/>
      <w:jc w:val="both"/>
    </w:pPr>
  </w:style>
  <w:style w:type="paragraph" w:styleId="Heading1">
    <w:name w:val="heading 1"/>
    <w:basedOn w:val="Normal"/>
    <w:next w:val="Normal"/>
    <w:link w:val="Heading1Char"/>
    <w:uiPriority w:val="9"/>
    <w:qFormat/>
    <w:locked/>
    <w:rsid w:val="0056286A"/>
    <w:pPr>
      <w:spacing w:before="300" w:after="40"/>
      <w:jc w:val="left"/>
      <w:outlineLvl w:val="0"/>
    </w:pPr>
    <w:rPr>
      <w:b/>
      <w:smallCaps/>
      <w:spacing w:val="5"/>
      <w:sz w:val="32"/>
      <w:szCs w:val="32"/>
    </w:rPr>
  </w:style>
  <w:style w:type="paragraph" w:styleId="Heading2">
    <w:name w:val="heading 2"/>
    <w:basedOn w:val="Normal"/>
    <w:next w:val="Normal"/>
    <w:link w:val="Heading2Char"/>
    <w:uiPriority w:val="9"/>
    <w:unhideWhenUsed/>
    <w:qFormat/>
    <w:locked/>
    <w:rsid w:val="0056286A"/>
    <w:pPr>
      <w:spacing w:before="240" w:after="80"/>
      <w:jc w:val="left"/>
      <w:outlineLvl w:val="1"/>
    </w:pPr>
    <w:rPr>
      <w:b/>
      <w:smallCaps/>
      <w:spacing w:val="5"/>
      <w:sz w:val="28"/>
      <w:szCs w:val="28"/>
    </w:rPr>
  </w:style>
  <w:style w:type="paragraph" w:styleId="Heading3">
    <w:name w:val="heading 3"/>
    <w:basedOn w:val="Normal"/>
    <w:next w:val="Normal"/>
    <w:link w:val="Heading3Char"/>
    <w:uiPriority w:val="9"/>
    <w:unhideWhenUsed/>
    <w:qFormat/>
    <w:locked/>
    <w:rsid w:val="0056286A"/>
    <w:pPr>
      <w:spacing w:after="0"/>
      <w:jc w:val="left"/>
      <w:outlineLvl w:val="2"/>
    </w:pPr>
    <w:rPr>
      <w:b/>
      <w:smallCaps/>
      <w:spacing w:val="5"/>
      <w:sz w:val="24"/>
      <w:szCs w:val="24"/>
    </w:rPr>
  </w:style>
  <w:style w:type="paragraph" w:styleId="Heading4">
    <w:name w:val="heading 4"/>
    <w:basedOn w:val="Normal"/>
    <w:next w:val="Normal"/>
    <w:link w:val="Heading4Char"/>
    <w:uiPriority w:val="9"/>
    <w:semiHidden/>
    <w:unhideWhenUsed/>
    <w:qFormat/>
    <w:locked/>
    <w:rsid w:val="004F610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4F610B"/>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locked/>
    <w:rsid w:val="004F610B"/>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locked/>
    <w:rsid w:val="004F610B"/>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locked/>
    <w:rsid w:val="004F610B"/>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locked/>
    <w:rsid w:val="004F610B"/>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3E16"/>
    <w:pPr>
      <w:tabs>
        <w:tab w:val="center" w:pos="4680"/>
        <w:tab w:val="right" w:pos="9360"/>
      </w:tabs>
    </w:pPr>
    <w:rPr>
      <w:rFonts w:ascii="Times New Roman" w:hAnsi="Times New Roman"/>
      <w:sz w:val="24"/>
      <w:szCs w:val="24"/>
    </w:rPr>
  </w:style>
  <w:style w:type="character" w:customStyle="1" w:styleId="HeaderChar">
    <w:name w:val="Header Char"/>
    <w:link w:val="Header"/>
    <w:uiPriority w:val="99"/>
    <w:locked/>
    <w:rsid w:val="00CC3E16"/>
    <w:rPr>
      <w:rFonts w:ascii="Times New Roman" w:hAnsi="Times New Roman" w:cs="Times New Roman"/>
      <w:sz w:val="24"/>
      <w:szCs w:val="24"/>
      <w:lang w:val="en-US"/>
    </w:rPr>
  </w:style>
  <w:style w:type="paragraph" w:styleId="BalloonText">
    <w:name w:val="Balloon Text"/>
    <w:basedOn w:val="Normal"/>
    <w:link w:val="BalloonTextChar"/>
    <w:uiPriority w:val="99"/>
    <w:semiHidden/>
    <w:rsid w:val="00CC3E16"/>
    <w:rPr>
      <w:rFonts w:ascii="Tahoma" w:hAnsi="Tahoma"/>
      <w:sz w:val="16"/>
      <w:szCs w:val="16"/>
    </w:rPr>
  </w:style>
  <w:style w:type="character" w:customStyle="1" w:styleId="BalloonTextChar">
    <w:name w:val="Balloon Text Char"/>
    <w:link w:val="BalloonText"/>
    <w:uiPriority w:val="99"/>
    <w:semiHidden/>
    <w:locked/>
    <w:rsid w:val="00CC3E16"/>
    <w:rPr>
      <w:rFonts w:ascii="Tahoma" w:eastAsia="Times New Roman" w:hAnsi="Tahoma" w:cs="Tahoma"/>
      <w:noProof/>
      <w:sz w:val="16"/>
      <w:szCs w:val="16"/>
      <w:lang w:val="en-US"/>
    </w:rPr>
  </w:style>
  <w:style w:type="paragraph" w:styleId="ListParagraph">
    <w:name w:val="List Paragraph"/>
    <w:basedOn w:val="Normal"/>
    <w:uiPriority w:val="34"/>
    <w:qFormat/>
    <w:rsid w:val="004F610B"/>
    <w:pPr>
      <w:ind w:left="720"/>
      <w:contextualSpacing/>
    </w:pPr>
  </w:style>
  <w:style w:type="table" w:styleId="TableGrid">
    <w:name w:val="Table Grid"/>
    <w:basedOn w:val="TableNormal"/>
    <w:uiPriority w:val="59"/>
    <w:locked/>
    <w:rsid w:val="003A11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DB0D3D"/>
    <w:pPr>
      <w:tabs>
        <w:tab w:val="center" w:pos="4513"/>
        <w:tab w:val="right" w:pos="9026"/>
      </w:tabs>
    </w:pPr>
    <w:rPr>
      <w:rFonts w:cs="Angsana New"/>
    </w:rPr>
  </w:style>
  <w:style w:type="character" w:customStyle="1" w:styleId="FooterChar">
    <w:name w:val="Footer Char"/>
    <w:link w:val="Footer"/>
    <w:uiPriority w:val="99"/>
    <w:rsid w:val="00DB0D3D"/>
    <w:rPr>
      <w:rFonts w:ascii="Cordia New" w:hAnsi="Cordia New" w:cs="Angsana New"/>
      <w:noProof/>
      <w:sz w:val="28"/>
      <w:lang w:val="en-US" w:eastAsia="en-US" w:bidi="th-TH"/>
    </w:rPr>
  </w:style>
  <w:style w:type="character" w:styleId="CommentReference">
    <w:name w:val="annotation reference"/>
    <w:uiPriority w:val="99"/>
    <w:semiHidden/>
    <w:unhideWhenUsed/>
    <w:rsid w:val="00591E80"/>
    <w:rPr>
      <w:sz w:val="16"/>
      <w:szCs w:val="16"/>
    </w:rPr>
  </w:style>
  <w:style w:type="paragraph" w:styleId="CommentText">
    <w:name w:val="annotation text"/>
    <w:basedOn w:val="Normal"/>
    <w:link w:val="CommentTextChar"/>
    <w:uiPriority w:val="99"/>
    <w:semiHidden/>
    <w:unhideWhenUsed/>
    <w:rsid w:val="00591E80"/>
    <w:rPr>
      <w:rFonts w:cs="Angsana New"/>
      <w:szCs w:val="25"/>
    </w:rPr>
  </w:style>
  <w:style w:type="character" w:customStyle="1" w:styleId="CommentTextChar">
    <w:name w:val="Comment Text Char"/>
    <w:link w:val="CommentText"/>
    <w:uiPriority w:val="99"/>
    <w:semiHidden/>
    <w:rsid w:val="00591E80"/>
    <w:rPr>
      <w:rFonts w:ascii="Cordia New" w:hAnsi="Cordia New" w:cs="Angsana New"/>
      <w:noProof/>
      <w:szCs w:val="25"/>
      <w:lang w:val="en-US" w:eastAsia="en-US" w:bidi="th-TH"/>
    </w:rPr>
  </w:style>
  <w:style w:type="paragraph" w:styleId="CommentSubject">
    <w:name w:val="annotation subject"/>
    <w:basedOn w:val="CommentText"/>
    <w:next w:val="CommentText"/>
    <w:link w:val="CommentSubjectChar"/>
    <w:uiPriority w:val="99"/>
    <w:semiHidden/>
    <w:unhideWhenUsed/>
    <w:rsid w:val="00591E80"/>
    <w:rPr>
      <w:b/>
      <w:bCs/>
    </w:rPr>
  </w:style>
  <w:style w:type="character" w:customStyle="1" w:styleId="CommentSubjectChar">
    <w:name w:val="Comment Subject Char"/>
    <w:link w:val="CommentSubject"/>
    <w:uiPriority w:val="99"/>
    <w:semiHidden/>
    <w:rsid w:val="00591E80"/>
    <w:rPr>
      <w:rFonts w:ascii="Cordia New" w:hAnsi="Cordia New" w:cs="Angsana New"/>
      <w:b/>
      <w:bCs/>
      <w:noProof/>
      <w:szCs w:val="25"/>
      <w:lang w:val="en-US" w:eastAsia="en-US" w:bidi="th-TH"/>
    </w:rPr>
  </w:style>
  <w:style w:type="paragraph" w:styleId="Revision">
    <w:name w:val="Revision"/>
    <w:hidden/>
    <w:uiPriority w:val="99"/>
    <w:semiHidden/>
    <w:rsid w:val="00465DBA"/>
    <w:pPr>
      <w:spacing w:after="200" w:line="276" w:lineRule="auto"/>
      <w:jc w:val="both"/>
    </w:pPr>
    <w:rPr>
      <w:rFonts w:ascii="Cordia New" w:hAnsi="Cordia New" w:cs="Angsana New"/>
      <w:noProof/>
      <w:sz w:val="28"/>
      <w:lang w:val="en-US" w:eastAsia="en-US" w:bidi="th-TH"/>
    </w:rPr>
  </w:style>
  <w:style w:type="character" w:customStyle="1" w:styleId="Heading1Char">
    <w:name w:val="Heading 1 Char"/>
    <w:link w:val="Heading1"/>
    <w:uiPriority w:val="9"/>
    <w:rsid w:val="0056286A"/>
    <w:rPr>
      <w:b/>
      <w:smallCaps/>
      <w:spacing w:val="5"/>
      <w:sz w:val="32"/>
      <w:szCs w:val="32"/>
    </w:rPr>
  </w:style>
  <w:style w:type="character" w:customStyle="1" w:styleId="Heading2Char">
    <w:name w:val="Heading 2 Char"/>
    <w:link w:val="Heading2"/>
    <w:uiPriority w:val="9"/>
    <w:rsid w:val="0056286A"/>
    <w:rPr>
      <w:b/>
      <w:smallCaps/>
      <w:spacing w:val="5"/>
      <w:sz w:val="28"/>
      <w:szCs w:val="28"/>
    </w:rPr>
  </w:style>
  <w:style w:type="character" w:customStyle="1" w:styleId="Heading3Char">
    <w:name w:val="Heading 3 Char"/>
    <w:link w:val="Heading3"/>
    <w:uiPriority w:val="9"/>
    <w:rsid w:val="0056286A"/>
    <w:rPr>
      <w:b/>
      <w:smallCaps/>
      <w:spacing w:val="5"/>
      <w:sz w:val="24"/>
      <w:szCs w:val="24"/>
    </w:rPr>
  </w:style>
  <w:style w:type="character" w:customStyle="1" w:styleId="Heading4Char">
    <w:name w:val="Heading 4 Char"/>
    <w:link w:val="Heading4"/>
    <w:uiPriority w:val="9"/>
    <w:semiHidden/>
    <w:rsid w:val="004F610B"/>
    <w:rPr>
      <w:smallCaps/>
      <w:spacing w:val="10"/>
      <w:sz w:val="22"/>
      <w:szCs w:val="22"/>
    </w:rPr>
  </w:style>
  <w:style w:type="character" w:customStyle="1" w:styleId="Heading5Char">
    <w:name w:val="Heading 5 Char"/>
    <w:link w:val="Heading5"/>
    <w:uiPriority w:val="9"/>
    <w:semiHidden/>
    <w:rsid w:val="004F610B"/>
    <w:rPr>
      <w:smallCaps/>
      <w:color w:val="943634"/>
      <w:spacing w:val="10"/>
      <w:sz w:val="22"/>
      <w:szCs w:val="26"/>
    </w:rPr>
  </w:style>
  <w:style w:type="character" w:customStyle="1" w:styleId="Heading6Char">
    <w:name w:val="Heading 6 Char"/>
    <w:link w:val="Heading6"/>
    <w:uiPriority w:val="9"/>
    <w:semiHidden/>
    <w:rsid w:val="004F610B"/>
    <w:rPr>
      <w:smallCaps/>
      <w:color w:val="C0504D"/>
      <w:spacing w:val="5"/>
      <w:sz w:val="22"/>
    </w:rPr>
  </w:style>
  <w:style w:type="character" w:customStyle="1" w:styleId="Heading7Char">
    <w:name w:val="Heading 7 Char"/>
    <w:link w:val="Heading7"/>
    <w:uiPriority w:val="9"/>
    <w:semiHidden/>
    <w:rsid w:val="004F610B"/>
    <w:rPr>
      <w:b/>
      <w:smallCaps/>
      <w:color w:val="C0504D"/>
      <w:spacing w:val="10"/>
    </w:rPr>
  </w:style>
  <w:style w:type="character" w:customStyle="1" w:styleId="Heading8Char">
    <w:name w:val="Heading 8 Char"/>
    <w:link w:val="Heading8"/>
    <w:uiPriority w:val="9"/>
    <w:semiHidden/>
    <w:rsid w:val="004F610B"/>
    <w:rPr>
      <w:b/>
      <w:i/>
      <w:smallCaps/>
      <w:color w:val="943634"/>
    </w:rPr>
  </w:style>
  <w:style w:type="character" w:customStyle="1" w:styleId="Heading9Char">
    <w:name w:val="Heading 9 Char"/>
    <w:link w:val="Heading9"/>
    <w:uiPriority w:val="9"/>
    <w:semiHidden/>
    <w:rsid w:val="004F610B"/>
    <w:rPr>
      <w:b/>
      <w:i/>
      <w:smallCaps/>
      <w:color w:val="622423"/>
    </w:rPr>
  </w:style>
  <w:style w:type="paragraph" w:styleId="Caption">
    <w:name w:val="caption"/>
    <w:basedOn w:val="Normal"/>
    <w:next w:val="Normal"/>
    <w:uiPriority w:val="35"/>
    <w:semiHidden/>
    <w:unhideWhenUsed/>
    <w:qFormat/>
    <w:locked/>
    <w:rsid w:val="004F610B"/>
    <w:rPr>
      <w:b/>
      <w:bCs/>
      <w:caps/>
      <w:sz w:val="16"/>
      <w:szCs w:val="18"/>
    </w:rPr>
  </w:style>
  <w:style w:type="paragraph" w:styleId="Title">
    <w:name w:val="Title"/>
    <w:basedOn w:val="Normal"/>
    <w:next w:val="Normal"/>
    <w:link w:val="TitleChar"/>
    <w:uiPriority w:val="10"/>
    <w:qFormat/>
    <w:locked/>
    <w:rsid w:val="004F610B"/>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4F610B"/>
    <w:rPr>
      <w:smallCaps/>
      <w:sz w:val="48"/>
      <w:szCs w:val="48"/>
    </w:rPr>
  </w:style>
  <w:style w:type="paragraph" w:styleId="Subtitle">
    <w:name w:val="Subtitle"/>
    <w:basedOn w:val="Normal"/>
    <w:next w:val="Normal"/>
    <w:link w:val="SubtitleChar"/>
    <w:uiPriority w:val="11"/>
    <w:qFormat/>
    <w:locked/>
    <w:rsid w:val="004F610B"/>
    <w:pPr>
      <w:spacing w:after="720" w:line="240" w:lineRule="auto"/>
      <w:jc w:val="right"/>
    </w:pPr>
    <w:rPr>
      <w:rFonts w:ascii="Cambria" w:hAnsi="Cambria"/>
      <w:szCs w:val="22"/>
    </w:rPr>
  </w:style>
  <w:style w:type="character" w:customStyle="1" w:styleId="SubtitleChar">
    <w:name w:val="Subtitle Char"/>
    <w:link w:val="Subtitle"/>
    <w:uiPriority w:val="11"/>
    <w:rsid w:val="004F610B"/>
    <w:rPr>
      <w:rFonts w:ascii="Cambria" w:eastAsia="Times New Roman" w:hAnsi="Cambria" w:cs="Times New Roman"/>
      <w:szCs w:val="22"/>
    </w:rPr>
  </w:style>
  <w:style w:type="character" w:styleId="Strong">
    <w:name w:val="Strong"/>
    <w:uiPriority w:val="22"/>
    <w:qFormat/>
    <w:locked/>
    <w:rsid w:val="004F610B"/>
    <w:rPr>
      <w:b/>
      <w:color w:val="C0504D"/>
    </w:rPr>
  </w:style>
  <w:style w:type="character" w:styleId="Emphasis">
    <w:name w:val="Emphasis"/>
    <w:uiPriority w:val="20"/>
    <w:qFormat/>
    <w:locked/>
    <w:rsid w:val="004F610B"/>
    <w:rPr>
      <w:b/>
      <w:i/>
      <w:spacing w:val="10"/>
    </w:rPr>
  </w:style>
  <w:style w:type="paragraph" w:styleId="NoSpacing">
    <w:name w:val="No Spacing"/>
    <w:basedOn w:val="Normal"/>
    <w:link w:val="NoSpacingChar"/>
    <w:uiPriority w:val="1"/>
    <w:qFormat/>
    <w:rsid w:val="004F610B"/>
    <w:pPr>
      <w:spacing w:after="0" w:line="240" w:lineRule="auto"/>
    </w:pPr>
  </w:style>
  <w:style w:type="paragraph" w:styleId="Quote">
    <w:name w:val="Quote"/>
    <w:basedOn w:val="Normal"/>
    <w:next w:val="Normal"/>
    <w:link w:val="QuoteChar"/>
    <w:uiPriority w:val="29"/>
    <w:qFormat/>
    <w:rsid w:val="004F610B"/>
    <w:rPr>
      <w:i/>
    </w:rPr>
  </w:style>
  <w:style w:type="character" w:customStyle="1" w:styleId="QuoteChar">
    <w:name w:val="Quote Char"/>
    <w:link w:val="Quote"/>
    <w:uiPriority w:val="29"/>
    <w:rsid w:val="004F610B"/>
    <w:rPr>
      <w:i/>
    </w:rPr>
  </w:style>
  <w:style w:type="paragraph" w:styleId="IntenseQuote">
    <w:name w:val="Intense Quote"/>
    <w:basedOn w:val="Normal"/>
    <w:next w:val="Normal"/>
    <w:link w:val="IntenseQuoteChar"/>
    <w:uiPriority w:val="30"/>
    <w:qFormat/>
    <w:rsid w:val="004F610B"/>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4F610B"/>
    <w:rPr>
      <w:b/>
      <w:i/>
      <w:color w:val="FFFFFF"/>
      <w:shd w:val="clear" w:color="auto" w:fill="C0504D"/>
    </w:rPr>
  </w:style>
  <w:style w:type="character" w:styleId="SubtleEmphasis">
    <w:name w:val="Subtle Emphasis"/>
    <w:uiPriority w:val="19"/>
    <w:qFormat/>
    <w:rsid w:val="004F610B"/>
    <w:rPr>
      <w:i/>
    </w:rPr>
  </w:style>
  <w:style w:type="character" w:styleId="IntenseEmphasis">
    <w:name w:val="Intense Emphasis"/>
    <w:uiPriority w:val="21"/>
    <w:qFormat/>
    <w:rsid w:val="004F610B"/>
    <w:rPr>
      <w:b/>
      <w:i/>
      <w:color w:val="C0504D"/>
      <w:spacing w:val="10"/>
    </w:rPr>
  </w:style>
  <w:style w:type="character" w:styleId="SubtleReference">
    <w:name w:val="Subtle Reference"/>
    <w:uiPriority w:val="31"/>
    <w:qFormat/>
    <w:rsid w:val="004F610B"/>
    <w:rPr>
      <w:b/>
    </w:rPr>
  </w:style>
  <w:style w:type="character" w:styleId="IntenseReference">
    <w:name w:val="Intense Reference"/>
    <w:uiPriority w:val="32"/>
    <w:qFormat/>
    <w:rsid w:val="004F610B"/>
    <w:rPr>
      <w:b/>
      <w:bCs/>
      <w:smallCaps/>
      <w:spacing w:val="5"/>
      <w:sz w:val="22"/>
      <w:szCs w:val="22"/>
      <w:u w:val="single"/>
    </w:rPr>
  </w:style>
  <w:style w:type="character" w:styleId="BookTitle">
    <w:name w:val="Book Title"/>
    <w:uiPriority w:val="33"/>
    <w:qFormat/>
    <w:rsid w:val="004F610B"/>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F610B"/>
    <w:pPr>
      <w:outlineLvl w:val="9"/>
    </w:pPr>
    <w:rPr>
      <w:lang w:bidi="en-US"/>
    </w:rPr>
  </w:style>
  <w:style w:type="character" w:customStyle="1" w:styleId="NoSpacingChar">
    <w:name w:val="No Spacing Char"/>
    <w:link w:val="NoSpacing"/>
    <w:uiPriority w:val="1"/>
    <w:rsid w:val="004F610B"/>
  </w:style>
</w:styles>
</file>

<file path=word/webSettings.xml><?xml version="1.0" encoding="utf-8"?>
<w:webSettings xmlns:r="http://schemas.openxmlformats.org/officeDocument/2006/relationships" xmlns:w="http://schemas.openxmlformats.org/wordprocessingml/2006/main">
  <w:divs>
    <w:div w:id="1863590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nath\AppData\Local\Microsoft\Windows\Temporary%20Internet%20Files\Content.Outlook\UZ9DDO32\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A5F9-0204-E74C-8269-CED1F5C8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\Users\Eknath\AppData\Local\Microsoft\Windows\Temporary Internet Files\Content.Outlook\UZ9DDO32\Report template.dotx</Template>
  <TotalTime>2</TotalTime>
  <Pages>4</Pages>
  <Words>1882</Words>
  <Characters>10732</Characters>
  <Application>Microsoft Macintosh Word</Application>
  <DocSecurity>0</DocSecurity>
  <Lines>89</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13179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Ambekar E Eknath</dc:creator>
  <cp:lastModifiedBy>Bjørn Hersoug</cp:lastModifiedBy>
  <cp:revision>3</cp:revision>
  <cp:lastPrinted>2012-01-30T08:48:00Z</cp:lastPrinted>
  <dcterms:created xsi:type="dcterms:W3CDTF">2013-01-14T01:52:00Z</dcterms:created>
  <dcterms:modified xsi:type="dcterms:W3CDTF">2013-01-18T21:09:00Z</dcterms:modified>
</cp:coreProperties>
</file>